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Whole pack teaching decision record</w:t>
      </w:r>
    </w:p>
    <w:p>
      <w:pPr>
        <w:pStyle w:val="Heading1"/>
      </w:pPr>
      <w:r>
        <w:t>Keep the decision tied to the work</w:t>
      </w:r>
    </w:p>
    <w:p>
      <w:r>
        <w:t>Use a local learner label under your school procedures. Record features separately, not an ability rank.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Learner label and date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Task and pages already seen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Tools and support given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Unit price and labels shown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Whole permitted groups and enough items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Reason the purchase is least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Total paid and decision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Chosen teaching and why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Unused later task and planned occasion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response and qualified next move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Helped or familiar work is practice. A new response is evidence about its stated task and support, not proof of causal improvement or whole-domain mastery. Keep keys and unused later pages with the teacher.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 pack teaching decision record</dc:title>
  <dc:subject>Whole packs and purchase cost</dc:subject>
  <dc:creator>Mentor Teaching</dc:creator>
  <cp:keywords>unit price, whole packs, purchase cost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