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 Here · Unit rates and fair comparisons</w:t>
      </w:r>
    </w:p>
    <w:p>
      <w:r>
        <w:t>C05 · v1.0.0 · shared/start-here · page 1 of 2</w:t>
      </w:r>
    </w:p>
    <w:p>
      <w:pPr>
        <w:pStyle w:val="Heading1"/>
      </w:pPr>
      <w:r>
        <w:t>C05 v1.0.0 · three connected resource families; two newly authored</w:t>
      </w:r>
    </w:p>
    <w:p>
      <w:r>
        <w:t>A bounded U.S. Grade 6 mathematics supplement, not a full ratios course. Local grade fit depends on the prerequisites below.</w:t>
      </w:r>
    </w:p>
    <w:p>
      <w:pPr>
        <w:pStyle w:val="Heading1"/>
      </w:pPr>
      <w:r>
        <w:t>Choose the entry</w:t>
      </w:r>
    </w:p>
    <w:p>
      <w:r>
        <w:t>RR02 v0.1.7 supplies ratio language and equivalent labeled groups. The ZIP rr02/ folder contains 18 original PDF/DOCX files and 9 HTML variants (format revision html-response-lines-r1) with decorative response-line ARIA and small-screen reflow corrected. Instructional text and print/binary files are preserved; original public files remain unchanged. Open rr02/shared/start-here.html for its own page selections. RR03 finds and interprets per one. RR04 compares rates on a shared basis. Enter RR04 when the per-one prerequisite is secure.</w:t>
      </w:r>
    </w:p>
    <w:p>
      <w:r>
        <w:t>RR02: https://mentorteaching.com/resources/equivalent-ratios-scale-both-quantities/</w:t>
      </w:r>
    </w:p>
    <w:p>
      <w:r>
        <w:t>Offline prerequisite: ../rr02/shared/start-here.html</w:t>
      </w:r>
    </w:p>
    <w:p>
      <w:pPr>
        <w:pStyle w:val="Heading1"/>
      </w:pPr>
      <w:r>
        <w:t>Teach, check, respond, revisit</w:t>
      </w:r>
    </w:p>
    <w:p>
      <w:r>
        <w:t>1. Start Here maps RR02 prerequisite → RR03 interpretation → RR04 comparison. A teacher may enter at RR04 only when per-one meaning and units are already secure.</w:t>
      </w:r>
    </w:p>
    <w:p>
      <w:r>
        <w:t>2. Print readiness alone before any model, glossary or lesson. If prerequisite reasoning is insecure, teach RR02/RR03 as appropriate. Readiness is a routing conversation, not a diagnostic score.</w:t>
      </w:r>
    </w:p>
    <w:p>
      <w:r>
        <w:t>3. Teach the model and guided page. Then give only the separate check file; provide no intended keys. Lesson and check use different stimuli.</w:t>
      </w:r>
    </w:p>
    <w:p>
      <w:r>
        <w:t>4. Use the teacher criteria and response patterns; choose one supplied route and document why. Provide only that route page.</w:t>
      </w:r>
    </w:p>
    <w:p>
      <w:r>
        <w:t>5. Reserve fresh recheck, later revisit and transfer selections. Their changed contexts/data are separate stimuli, not calibrated alternate forms. If shown before collection, label the later response practice.</w:t>
      </w:r>
    </w:p>
    <w:p>
      <w:r>
        <w:t>6. Use fresh recheck after teaching, later revisit after another learning opportunity, then transfer. Record actual exposure, tools and response conditions locally.</w:t>
      </w:r>
    </w:p>
    <w:p>
      <w:pPr>
        <w:pStyle w:val="Heading1"/>
      </w:pPr>
      <w:r>
        <w:t>Stop within the boundary</w:t>
      </w:r>
    </w:p>
    <w:p>
      <w:r>
        <w:t>Interpret per one, preserve direction and units, compare on the same basis, explain ties and missing information, and apply a stated constant rate. No percent, measurement conversion, coordinate graphing, complex fractions or complete proportionality course.</w:t>
      </w:r>
    </w:p>
    <w:p>
      <w:pPr>
        <w:pStyle w:val="Heading1"/>
      </w:pPr>
      <w:r>
        <w:t>Free classroom use</w:t>
      </w:r>
    </w:p>
    <w:p>
      <w:r>
        <w:t>Paper and pencil. Optional counters for equal groups. No device, purchase, account or email is needed.</w:t>
      </w:r>
    </w:p>
    <w:p>
      <w:r>
        <w:t>Teacher keys and every reserved stimulus are inside the complete ZIP. Keep it teacher-only. Individual student files provide exposure-controlled selections; HTML, PDF and editable DOCX contain the same text.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File and page selections</w:t>
      </w:r>
    </w:p>
    <w:p>
      <w:r>
        <w:t>C05 · v1.0.0 · shared/start-here · page 2 of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/>
        </w:trPr>
        <w:tc>
          <w:tcPr>
            <w:tcW w:type="dxa" w:w="3456"/>
          </w:tcPr>
          <w:p>
            <w:r>
              <w:t>File stem / location</w:t>
            </w:r>
          </w:p>
        </w:tc>
        <w:tc>
          <w:tcPr>
            <w:tcW w:type="dxa" w:w="3456"/>
          </w:tcPr>
          <w:p>
            <w:r>
              <w:t>Pages</w:t>
            </w:r>
          </w:p>
        </w:tc>
        <w:tc>
          <w:tcPr>
            <w:tcW w:type="dxa" w:w="3456"/>
          </w:tcPr>
          <w:p>
            <w:r>
              <w:t>When to expose</w:t>
            </w:r>
          </w:p>
        </w:tc>
      </w:tr>
      <w:tr>
        <w:tc>
          <w:tcPr>
            <w:tcW w:type="dxa" w:w="3456"/>
          </w:tcPr>
          <w:p>
            <w:r>
              <w:t>student/readiness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First; before any teaching aid</w:t>
            </w:r>
          </w:p>
        </w:tc>
      </w:tr>
      <w:tr>
        <w:tc>
          <w:tcPr>
            <w:tcW w:type="dxa" w:w="3456"/>
          </w:tcPr>
          <w:p>
            <w:r>
              <w:t>student/teach-lesson</w:t>
            </w:r>
          </w:p>
        </w:tc>
        <w:tc>
          <w:tcPr>
            <w:tcW w:type="dxa" w:w="3456"/>
          </w:tcPr>
          <w:p>
            <w:r>
              <w:t>1–2</w:t>
            </w:r>
          </w:p>
        </w:tc>
        <w:tc>
          <w:tcPr>
            <w:tcW w:type="dxa" w:w="3456"/>
          </w:tcPr>
          <w:p>
            <w:r>
              <w:t>Model/M1 then guided G1/G2</w:t>
            </w:r>
          </w:p>
        </w:tc>
      </w:tr>
      <w:tr>
        <w:tc>
          <w:tcPr>
            <w:tcW w:type="dxa" w:w="3456"/>
          </w:tcPr>
          <w:p>
            <w:r>
              <w:t>student/check-only</w:t>
            </w:r>
          </w:p>
        </w:tc>
        <w:tc>
          <w:tcPr>
            <w:tcW w:type="dxa" w:w="3456"/>
          </w:tcPr>
          <w:p>
            <w:r>
              <w:t>1–2</w:t>
            </w:r>
          </w:p>
        </w:tc>
        <w:tc>
          <w:tcPr>
            <w:tcW w:type="dxa" w:w="3456"/>
          </w:tcPr>
          <w:p>
            <w:r>
              <w:t>C1/C2; no visible model/key</w:t>
            </w:r>
          </w:p>
        </w:tc>
      </w:tr>
      <w:tr>
        <w:tc>
          <w:tcPr>
            <w:tcW w:type="dxa" w:w="3456"/>
          </w:tcPr>
          <w:p>
            <w:r>
              <w:t>student/route-continue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N1 only after route choice</w:t>
            </w:r>
          </w:p>
        </w:tc>
      </w:tr>
      <w:tr>
        <w:tc>
          <w:tcPr>
            <w:tcW w:type="dxa" w:w="3456"/>
          </w:tcPr>
          <w:p>
            <w:r>
              <w:t>student/route-clarify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Q1 only after route choice</w:t>
            </w:r>
          </w:p>
        </w:tc>
      </w:tr>
      <w:tr>
        <w:tc>
          <w:tcPr>
            <w:tcW w:type="dxa" w:w="3456"/>
          </w:tcPr>
          <w:p>
            <w:r>
              <w:t>student/route-reteach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R1 only after route choice</w:t>
            </w:r>
          </w:p>
        </w:tc>
      </w:tr>
      <w:tr>
        <w:tc>
          <w:tcPr>
            <w:tcW w:type="dxa" w:w="3456"/>
          </w:tcPr>
          <w:p>
            <w:r>
              <w:t>student/route-extend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X1 only after route choice</w:t>
            </w:r>
          </w:p>
        </w:tc>
      </w:tr>
      <w:tr>
        <w:tc>
          <w:tcPr>
            <w:tcW w:type="dxa" w:w="3456"/>
          </w:tcPr>
          <w:p>
            <w:r>
              <w:t>student/fresh-recheck</w:t>
            </w:r>
          </w:p>
        </w:tc>
        <w:tc>
          <w:tcPr>
            <w:tcW w:type="dxa" w:w="3456"/>
          </w:tcPr>
          <w:p>
            <w:r>
              <w:t>1–2</w:t>
            </w:r>
          </w:p>
        </w:tc>
        <w:tc>
          <w:tcPr>
            <w:tcW w:type="dxa" w:w="3456"/>
          </w:tcPr>
          <w:p>
            <w:r>
              <w:t>F1/F2 after selected move</w:t>
            </w:r>
          </w:p>
        </w:tc>
      </w:tr>
      <w:tr>
        <w:tc>
          <w:tcPr>
            <w:tcW w:type="dxa" w:w="3456"/>
          </w:tcPr>
          <w:p>
            <w:r>
              <w:t>student/later-revisit</w:t>
            </w:r>
          </w:p>
        </w:tc>
        <w:tc>
          <w:tcPr>
            <w:tcW w:type="dxa" w:w="3456"/>
          </w:tcPr>
          <w:p>
            <w:r>
              <w:t>1–2</w:t>
            </w:r>
          </w:p>
        </w:tc>
        <w:tc>
          <w:tcPr>
            <w:tcW w:type="dxa" w:w="3456"/>
          </w:tcPr>
          <w:p>
            <w:r>
              <w:t>L1/L2 after another opportunity</w:t>
            </w:r>
          </w:p>
        </w:tc>
      </w:tr>
      <w:tr>
        <w:tc>
          <w:tcPr>
            <w:tcW w:type="dxa" w:w="3456"/>
          </w:tcPr>
          <w:p>
            <w:r>
              <w:t>student/transfer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T1 after taught work</w:t>
            </w:r>
          </w:p>
        </w:tc>
      </w:tr>
      <w:tr>
        <w:tc>
          <w:tcPr>
            <w:tcW w:type="dxa" w:w="3456"/>
          </w:tcPr>
          <w:p>
            <w:r>
              <w:t>teacher/teacher-guide</w:t>
            </w:r>
          </w:p>
        </w:tc>
        <w:tc>
          <w:tcPr>
            <w:tcW w:type="dxa" w:w="3456"/>
          </w:tcPr>
          <w:p>
            <w:r>
              <w:t>1–16</w:t>
            </w:r>
          </w:p>
        </w:tc>
        <w:tc>
          <w:tcPr>
            <w:tcW w:type="dxa" w:w="3456"/>
          </w:tcPr>
          <w:p>
            <w:r>
              <w:t>Teacher-only: criteria, routes, all keys</w:t>
            </w:r>
          </w:p>
        </w:tc>
      </w:tr>
      <w:tr>
        <w:tc>
          <w:tcPr>
            <w:tcW w:type="dxa" w:w="3456"/>
          </w:tcPr>
          <w:p>
            <w:r>
              <w:t>shared/representation-glossary</w:t>
            </w:r>
          </w:p>
        </w:tc>
        <w:tc>
          <w:tcPr>
            <w:tcW w:type="dxa" w:w="3456"/>
          </w:tcPr>
          <w:p>
            <w:r>
              <w:t>1–2</w:t>
            </w:r>
          </w:p>
        </w:tc>
        <w:tc>
          <w:tcPr>
            <w:tcW w:type="dxa" w:w="3456"/>
          </w:tcPr>
          <w:p>
            <w:r>
              <w:t>Teaching aid; after readiness</w:t>
            </w:r>
          </w:p>
        </w:tc>
      </w:tr>
      <w:tr>
        <w:tc>
          <w:tcPr>
            <w:tcW w:type="dxa" w:w="3456"/>
          </w:tcPr>
          <w:p>
            <w:r>
              <w:t>shared/local-decision-record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Teacher-only local record</w:t>
            </w:r>
          </w:p>
        </w:tc>
      </w:tr>
    </w:tbl>
    <w:p>
      <w:r>
        <w:t>Student/teacher stems are under rr03/ or rr04/. Shared/ stems are at the ZIP root. All stems are provided as .pdf, .docx and .html. In each two-page evidence file page 1 is the first task and page 2 is the second. Teacher-guide pagination is fixed in PDF; editable Word pagination may change locally. Print from PDF for these page selections.</w:t>
      </w:r>
    </w:p>
    <w:p>
      <w:pPr>
        <w:pStyle w:val="Heading1"/>
      </w:pPr>
      <w:r>
        <w:t>Teacher guide map</w:t>
      </w:r>
    </w:p>
    <w:p>
      <w:r>
        <w:t>Page 1 quick start; page 2 print/exposure and criteria; pages 3–6 routes (continue, clarify, reteach, extend); pages 7–14 all 15 task keys in task order (two per page, last one alone); page 15 supports/standards; page 16 provenance/limits.</w:t>
      </w:r>
    </w:p>
    <w:p>
      <w:pPr>
        <w:pStyle w:val="Heading1"/>
      </w:pPr>
      <w:r>
        <w:t>Local conditions</w:t>
      </w:r>
    </w:p>
    <w:p>
      <w:r>
        <w:t>Record prior exposure, response mode, neutral reading assistance, calculators and other support. Brief checks guide a tentative teaching move; they do not establish stable ability, assessment equivalence, or classroom effectiveness.</w:t>
      </w: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Here · Unit rates and fair comparisons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