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Response teaching edition · 2 November 2026</w:t>
      </w:r>
    </w:p>
    <w:p>
      <w:pPr>
        <w:pStyle w:val="Heading1"/>
      </w:pPr>
      <w:r>
        <w:t>Discuss a way to share project questions</w:t>
      </w:r>
    </w:p>
    <w:p>
      <w:r>
        <w:t>Invented decision: Should a club offer a question board as well as spoken questions? Text E — One board trial: 14 of 20 members posted a question. No check recorded which questions helped a project or why six members did not post. Text F — Member notes: 8 of 12 voluntary respondents said they wanted a spoken question time. The club has 20 members and the other eight did not reply.</w:t>
      </w:r>
    </w:p>
    <w:p>
      <w:r>
        <w:t>Through your agreed route, contribute a recommendation with an accurately attributed detail, its relevance and a limit. Exchange and respond to a different idea with a relevant reason/detail. If working with the teacher, they may read: ‘Eight replies want speaking, so I would stop using the board.’ Reflect on whether your view stayed, changed or became more qualified, and what evidence would matter next. Retain a note or agreed record of your point, other idea and reply. Agreement and number of turns are not scored.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sectPr w:rsidR="00FC693F" w:rsidRPr="0006063C" w:rsidSect="00034616"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Editable classroom selection. Use the matching teacher guide for the teaching or check stage.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