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Response teaching edition · 2 November 2026</w:t>
      </w:r>
    </w:p>
    <w:p>
      <w:pPr>
        <w:pStyle w:val="Heading1"/>
      </w:pPr>
      <w:r>
        <w:t>Evaluate sources about a Saturday workshop</w:t>
      </w:r>
    </w:p>
    <w:p>
      <w:r>
        <w:t>Invented offline examples. Question: Can organizers conclude that a Saturday workshop would be easier for all current members to attend in November 2026? Card F: Saturday Success! Creator: kit shop sales team, dated 2023. Purpose: sell workshop kits. Claim: ‘Saturday suits everyone.’ No count, method or source is supplied; a decorative gold badge has no explanation. Card G: Member Transport Notes, 4 November 2026. Creator: club transport volunteer. Purpose: record possible travel barriers. The volunteer spoke with 7 of 22 current members; 3 said they could not get a Saturday ride. No conversation records or wider survey are supplied. The other 15 were not asked.</w:t>
      </w:r>
    </w:p>
    <w:p>
      <w:r>
        <w:t>Evaluate both cards for the exact question, naming creator/access, purpose, method, date and source trail. Give a cautious conclusion and relevant limit. Propose a useful next check. Explain why a sponsor or old date does not by itself prove a claim false, and why the badge does not establish its truth.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Editable classroom selection. Use the matching teacher guide for the teaching or check stage.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