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Continue Practice: Make a Claim Traceable</w:t>
      </w:r>
    </w:p>
    <w:p>
      <w:pPr>
        <w:pStyle w:val="Heading1"/>
      </w:pPr>
      <w:r>
        <w:t>Practice with familiar evidence</w:t>
      </w:r>
    </w:p>
    <w:p>
      <w:r>
        <w:t>Use the Common-area details and report page in Lessons and Practice. This is another opportunity with familiar sources. Choose a claim about the depicted pattern near the Common toward Back Bay.</w:t>
      </w:r>
    </w:p>
    <w:p>
      <w:pPr>
        <w:pStyle w:val="Heading2"/>
      </w:pPr>
      <w:r>
        <w:t>Trace the claim</w:t>
      </w:r>
    </w:p>
    <w:p>
      <w:r>
        <w:t>Write your claim. Then give a map detail from 1775, a map detail from 1883 and a report detail. Explain which detail helps describe the difference and which helps explain human action.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pStyle w:val="Heading2"/>
      </w:pPr>
      <w:r>
        <w:t>Improve the limit</w:t>
      </w:r>
    </w:p>
    <w:p>
      <w:r>
        <w:t>Write a limit that names a particular unanswered question about your claim. Explain what additional kind of source could help answer it.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Continue Practice: Make a Claim Traceable</dc:title>
  <dc:subject>Boston historical map inquiry</dc:subject>
  <dc:creator>Mentor Teaching</dc:creator>
  <cp:keywords>historical maps, Boston, source inquiry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