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Linear Relationships Start Here</w:t>
      </w:r>
    </w:p>
    <w:p>
      <w:pPr>
        <w:pStyle w:val="Heading1"/>
      </w:pPr>
      <w:r>
        <w:t>Start from the reasoning you need to see</w:t>
      </w:r>
    </w:p>
    <w:p>
      <w:r>
        <w:t>Teach learners to find change per input unit, recover a starting amount from nonzero observations, connect a rule to a table and graph, and distinguish greater rate from greater output. Earlier proportional-relationship teaching already explains nonzero starts. This collection adds finding and using the two parameters when the rate is not supplied.</w:t>
      </w:r>
    </w:p>
    <w:p>
      <w:pPr>
        <w:pStyle w:val="Heading2"/>
      </w:pPr>
      <w:r>
        <w:t>Fit and preparation</w:t>
      </w:r>
    </w:p>
    <w:p>
      <w:r>
        <w:t>A selected U.S. Grade 8 mathematics supplement. Learners should name two quantities, interpret per one, read coordinates, and explain why a nonzero total start is not proportional. Subtraction, signed changes and the meaning of y = mx + b are taught here. Fraction and decimal calculations may need additional local support. All numerical models and learner statements are constructed teaching examples; no experiment or learner upload is needed.</w:t>
      </w:r>
    </w:p>
    <w:p>
      <w:pPr>
        <w:pStyle w:val="ListBullet"/>
      </w:pPr>
      <w:r>
        <w:t>Read the teacher guide. Use paper, pencil and the supplied coordinate grids. A calculator may support arithmetic when the local target is reasoning; record that support.</w:t>
      </w:r>
    </w:p>
    <w:p>
      <w:pPr>
        <w:pStyle w:val="ListBullet"/>
      </w:pPr>
      <w:r>
        <w:t>If prerequisite reasoning is unclear, use the earlier proportional relationship lesson and teacher guide included unchanged in the ZIP’s foundations folder. Keep teacher answers separate. Use the earlier collection’s own entry route when more teaching is needed.</w:t>
      </w:r>
    </w:p>
    <w:p>
      <w:pPr>
        <w:pStyle w:val="ListBullet"/>
      </w:pPr>
      <w:r>
        <w:t>Teach Rate from changes, Build a rule and graph, then Compare rate and output. Each contains modeling and complete learner practice. Select pages by the actual target rather than assigning every file at once.</w:t>
      </w:r>
    </w:p>
    <w:p>
      <w:pPr>
        <w:pStyle w:val="Heading2"/>
      </w:pPr>
      <w:r>
        <w:t>A useful prior route</w:t>
      </w:r>
    </w:p>
    <w:p>
      <w:r>
        <w:t>Equal groups and measured shares prepare quantity meaning; equivalent ratios and per-one work prepare labeled rates; proportional relationship teaching prepares table/rule/graph and domain reasoning. This is a selected mathematical-relationships route, not a complete course or coverage of every topic in Grades 5–8.</w:t>
      </w:r>
    </w:p>
    <w:p>
      <w:r>
        <w:br w:type="page"/>
      </w:r>
    </w:p>
    <w:p>
      <w:pPr>
        <w:pStyle w:val="Title"/>
      </w:pPr>
      <w:r>
        <w:t>Linear Relationships Start Here</w:t>
      </w:r>
    </w:p>
    <w:p>
      <w:pPr>
        <w:pStyle w:val="Heading1"/>
      </w:pPr>
      <w:r>
        <w:t>Check, respond and return</w:t>
      </w:r>
    </w:p>
    <w:p>
      <w:pPr>
        <w:pStyle w:val="ListBullet"/>
      </w:pPr>
      <w:r>
        <w:t>Use Starting task before discussing its answers. It identifies possible entry needs; it is not calibrated placement.</w:t>
      </w:r>
    </w:p>
    <w:p>
      <w:pPr>
        <w:pStyle w:val="ListBullet"/>
      </w:pPr>
      <w:r>
        <w:t>After teaching, give Independent check without its keys. Choose one response file from the learner’s explanation. Use a neutral question when the explanation is unclear.</w:t>
      </w:r>
    </w:p>
    <w:p>
      <w:pPr>
        <w:pStyle w:val="ListBullet"/>
      </w:pPr>
      <w:r>
        <w:t>Use unused Follow-up check after another learning opportunity. Its signed-rate demand differs from the first check. These are not equated forms; a changed response does not prove an instructional effect.</w:t>
      </w:r>
    </w:p>
    <w:p>
      <w:pPr>
        <w:pStyle w:val="ListBullet"/>
      </w:pPr>
      <w:r>
        <w:t>Use Later transfer to examine a new quantity, whole-count versus continuous inputs, a constant model and a zero input outside the stated domain.</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5328"/>
      </w:tblGrid>
      <w:tr>
        <w:trPr>
          <w:tblHeader w:val="true"/>
        </w:trPr>
        <w:tc>
          <w:tcPr>
            <w:tcW w:type="dxa" w:w="5328"/>
            <w:shd w:fill="EAF1F8"/>
          </w:tcPr>
          <w:p>
            <w:pPr>
              <w:spacing w:after="80"/>
            </w:pPr>
            <w:r>
              <w:rPr>
                <w:sz w:val="20"/>
              </w:rPr>
              <w:t>Observed reasoning</w:t>
            </w:r>
          </w:p>
        </w:tc>
        <w:tc>
          <w:tcPr>
            <w:tcW w:type="dxa" w:w="5328"/>
            <w:shd w:fill="EAF1F8"/>
          </w:tcPr>
          <w:p>
            <w:pPr>
              <w:spacing w:after="80"/>
            </w:pPr>
            <w:r>
              <w:rPr>
                <w:sz w:val="20"/>
              </w:rPr>
              <w:t>Supplied next move</w:t>
            </w:r>
          </w:p>
        </w:tc>
      </w:tr>
      <w:tr>
        <w:tc>
          <w:tcPr>
            <w:tcW w:type="dxa" w:w="5328"/>
          </w:tcPr>
          <w:p>
            <w:pPr>
              <w:spacing w:after="80"/>
            </w:pPr>
            <w:r>
              <w:rPr>
                <w:sz w:val="20"/>
              </w:rPr>
              <w:t>Output change is divided by one input or unequal jumps are compared directly</w:t>
            </w:r>
          </w:p>
        </w:tc>
        <w:tc>
          <w:tcPr>
            <w:tcW w:type="dxa" w:w="5328"/>
          </w:tcPr>
          <w:p>
            <w:pPr>
              <w:spacing w:after="80"/>
            </w:pPr>
            <w:r>
              <w:rPr>
                <w:sz w:val="20"/>
              </w:rPr>
              <w:t>Match the input changes; then a different unused two-point task.</w:t>
            </w:r>
          </w:p>
        </w:tc>
      </w:tr>
      <w:tr>
        <w:tc>
          <w:tcPr>
            <w:tcW w:type="dxa" w:w="5328"/>
          </w:tcPr>
          <w:p>
            <w:pPr>
              <w:spacing w:after="80"/>
            </w:pPr>
            <w:r>
              <w:rPr>
                <w:sz w:val="20"/>
              </w:rPr>
              <w:t>A nonzero observed output is called the starting value, or the start is omitted</w:t>
            </w:r>
          </w:p>
        </w:tc>
        <w:tc>
          <w:tcPr>
            <w:tcW w:type="dxa" w:w="5328"/>
          </w:tcPr>
          <w:p>
            <w:pPr>
              <w:spacing w:after="80"/>
            </w:pPr>
            <w:r>
              <w:rPr>
                <w:sz w:val="20"/>
              </w:rPr>
              <w:t>Recover the starting value; then a new rule and interpretation.</w:t>
            </w:r>
          </w:p>
        </w:tc>
      </w:tr>
      <w:tr>
        <w:tc>
          <w:tcPr>
            <w:tcW w:type="dxa" w:w="5328"/>
          </w:tcPr>
          <w:p>
            <w:pPr>
              <w:spacing w:after="80"/>
            </w:pPr>
            <w:r>
              <w:rPr>
                <w:sz w:val="20"/>
              </w:rPr>
              <w:t>Greater rate or greater starting amount is treated as greater output at every input</w:t>
            </w:r>
          </w:p>
        </w:tc>
        <w:tc>
          <w:tcPr>
            <w:tcW w:type="dxa" w:w="5328"/>
          </w:tcPr>
          <w:p>
            <w:pPr>
              <w:spacing w:after="80"/>
            </w:pPr>
            <w:r>
              <w:rPr>
                <w:sz w:val="20"/>
              </w:rPr>
              <w:t>Compare at the same input; then an unused comparison.</w:t>
            </w:r>
          </w:p>
        </w:tc>
      </w:tr>
      <w:tr>
        <w:tc>
          <w:tcPr>
            <w:tcW w:type="dxa" w:w="5328"/>
          </w:tcPr>
          <w:p>
            <w:pPr>
              <w:spacing w:after="80"/>
            </w:pPr>
            <w:r>
              <w:rPr>
                <w:sz w:val="20"/>
              </w:rPr>
              <w:t>Rate and start are sound but labels or graph evidence are missing</w:t>
            </w:r>
          </w:p>
        </w:tc>
        <w:tc>
          <w:tcPr>
            <w:tcW w:type="dxa" w:w="5328"/>
          </w:tcPr>
          <w:p>
            <w:pPr>
              <w:spacing w:after="80"/>
            </w:pPr>
            <w:r>
              <w:rPr>
                <w:sz w:val="20"/>
              </w:rPr>
              <w:t>Return to the relevant representation practice, with neutral labels or an agreed response mode.</w:t>
            </w:r>
          </w:p>
        </w:tc>
      </w:tr>
      <w:tr>
        <w:tc>
          <w:tcPr>
            <w:tcW w:type="dxa" w:w="5328"/>
          </w:tcPr>
          <w:p>
            <w:pPr>
              <w:spacing w:after="80"/>
            </w:pPr>
            <w:r>
              <w:rPr>
                <w:sz w:val="20"/>
              </w:rPr>
              <w:t>Reasoning is secure</w:t>
            </w:r>
          </w:p>
        </w:tc>
        <w:tc>
          <w:tcPr>
            <w:tcW w:type="dxa" w:w="5328"/>
          </w:tcPr>
          <w:p>
            <w:pPr>
              <w:spacing w:after="80"/>
            </w:pPr>
            <w:r>
              <w:rPr>
                <w:sz w:val="20"/>
              </w:rPr>
              <w:t>Consolidation and Later transfer; add the two-record model question for deeper reasoning.</w:t>
            </w:r>
          </w:p>
        </w:tc>
      </w:tr>
    </w:tbl>
    <w:p>
      <w:r>
        <w:t>Share only the chosen student pages. Keep answers and unused starting, check, follow-up and transfer tasks with the teacher. After answer exposure or substantive coaching, a task becomes practice. Use the local record to note the actual target, support, observations and next decision.</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Linear Relationships Start Here</dc:title>
  <dc:subject>Linear relationships</dc:subject>
  <dc:creator>Mentor Teaching</dc:creator>
  <cp:keywords>linear relationships, change rate, initial value, tables, rules, graphs</cp:keywords>
  <dc:description/>
  <cp:lastModifiedBy>Mentor Teaching</cp:lastModifiedBy>
  <cp:revision>1</cp:revision>
  <dcterms:created xsi:type="dcterms:W3CDTF">2026-10-03T00:00:00Z</dcterms:created>
  <dcterms:modified xsi:type="dcterms:W3CDTF">2026-10-03T00:00:00Z</dcterms:modified>
  <cp:category/>
</cp:coreProperties>
</file>