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Linear Relationships Local Teaching Record</w:t>
      </w:r>
    </w:p>
    <w:p>
      <w:pPr>
        <w:pStyle w:val="Heading1"/>
      </w:pPr>
      <w:r>
        <w:t>One learner or group, one next decision</w:t>
      </w:r>
    </w:p>
    <w:p>
      <w:r>
        <w:t>Use the guide’s separate rate, initial-value, representation and comparison criteria. Quote or describe what the learner did; probe unclear reasoning before choosing a route.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3600"/>
            <w:shd w:fill="EAF1F8"/>
          </w:tcPr>
          <w:p>
            <w:pPr>
              <w:spacing w:after="80"/>
            </w:pPr>
            <w:r>
              <w:rPr>
                <w:sz w:val="20"/>
              </w:rPr>
              <w:t>Record</w:t>
            </w:r>
          </w:p>
        </w:tc>
        <w:tc>
          <w:tcPr>
            <w:tcW w:type="dxa" w:w="7056"/>
            <w:shd w:fill="EAF1F8"/>
          </w:tcPr>
          <w:p>
            <w:pPr>
              <w:spacing w:after="80"/>
            </w:pPr>
            <w:r>
              <w:rPr>
                <w:sz w:val="20"/>
              </w:rPr>
              <w:t>Teacher notes</w:t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Target and task used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Actual explanation or work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What is sound; what remains uncertain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Help, calculator, response mode or answer exposure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Neutral question and response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Chosen teaching file and reason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Different unused next task and timing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New evidence and qualified next decision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A correct number alone may not establish the requested reasoning. A correct explanation with a calculation slip is different evidence from a wrong model. Record those differences. Multiple questions in one model are not independent confirmations.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Relationships Local Teaching Record</dc:title>
  <dc:subject>Linear relationships</dc:subject>
  <dc:creator>Mentor Teaching</dc:creator>
  <cp:keywords>linear relationships, change rate, initial value, tables, rules,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