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Match the Input Changes</w:t>
      </w:r>
    </w:p>
    <w:p>
      <w:pPr>
        <w:pStyle w:val="Heading1"/>
      </w:pPr>
      <w:r>
        <w:t>Divide each output change by its own input change</w:t>
      </w:r>
    </w:p>
    <w:p>
      <w:r>
        <w:t>A fictional learner says: “The output jumps by 4, then 6, so the rate changes.” In a supplied linear model, points (1, 7), (3, 11) and (6, 17) have unequal input intervals. The changes are 4 ÷ 2 = 2 and 6 ÷ 3 = 2 output units per input unit. Compare rates, not raw jumps across different intervals.</w:t>
      </w:r>
    </w:p>
    <w:p>
      <w:pPr>
        <w:pStyle w:val="Heading2"/>
      </w:pPr>
      <w:r>
        <w:t>Your new practice</w:t>
      </w:r>
    </w:p>
    <w:p>
      <w:r>
        <w:t>A supplied linear cord model for 0 to 8 minutes gives these totals. Calculate the rate over each displayed interval. Write one sentence about why the output jumps differ, and check the claim “24 ÷ 5 gives the change rate.”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5328"/>
        <w:gridCol w:w="5328"/>
      </w:tblGrid>
      <w:tr>
        <w:trPr>
          <w:tblHeader w:val="true"/>
        </w:trPr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Time (minutes)</w:t>
            </w:r>
          </w:p>
        </w:tc>
        <w:tc>
          <w:tcPr>
            <w:tcW w:type="dxa" w:w="5328"/>
            <w:shd w:fill="EAF1F8"/>
          </w:tcPr>
          <w:p>
            <w:pPr>
              <w:spacing w:after="80"/>
            </w:pPr>
            <w:r>
              <w:rPr>
                <w:sz w:val="20"/>
              </w:rPr>
              <w:t>Total cord (meters)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1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5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24</w:t>
            </w:r>
          </w:p>
        </w:tc>
      </w:tr>
      <w:tr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8</w:t>
            </w:r>
          </w:p>
        </w:tc>
        <w:tc>
          <w:tcPr>
            <w:tcW w:type="dxa" w:w="5328"/>
          </w:tcPr>
          <w:p>
            <w:pPr>
              <w:spacing w:after="80"/>
            </w:pPr>
            <w:r>
              <w:rPr>
                <w:sz w:val="20"/>
              </w:rPr>
              <w:t>36</w:t>
            </w:r>
          </w:p>
        </w:tc>
      </w:tr>
    </w:tbl>
    <w:p>
      <w:pPr>
        <w:spacing w:after="0"/>
      </w:pPr>
      <w:r>
        <w:t>Your two rates, units and response to the claim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r>
        <w:t>For a next task, keep the two differences in the same order. If quantity direction is unclear, first label input, output and the unit sought.</w:t>
      </w: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Match the Input Changes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