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at the Same Input</w:t>
      </w:r>
    </w:p>
    <w:p>
      <w:pPr>
        <w:pStyle w:val="Heading1"/>
      </w:pPr>
      <w:r>
        <w:t>Compare both models at one common input</w:t>
      </w:r>
    </w:p>
    <w:p>
      <w:r>
        <w:t>For 0 to 6 minutes, A = 4t + 1 and B = 2t + 7 give total liters. A has the greater change rate. At one minute, A has 5 liters while B has 9 liters; the greater rate does not make A greater at every time. Equality is 4t + 1 = 2t + 7, so 2t = 6 and t = 3 minutes. Each then has 13 liters.</w:t>
      </w:r>
    </w:p>
    <w:p>
      <w:pPr>
        <w:pStyle w:val="Heading2"/>
      </w:pPr>
      <w:r>
        <w:t>Your new practice</w:t>
      </w:r>
    </w:p>
    <w:p>
      <w:r>
        <w:t>For 0 to 6 minutes, supplied models C = t + 12 and D = 3t + 2 give total liters. A fictional learner says: “C starts higher, so C always has more.” Compare rates, amounts at minutes 1 and 6, and the equality time. Explain when the learner’s claim fails within the stated domain.</w:t>
      </w:r>
    </w:p>
    <w:p>
      <w:pPr>
        <w:spacing w:after="0"/>
      </w:pPr>
      <w:r>
        <w:t>Your comparisons, equality and qualified conclusion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at the Same Input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