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Reading Response and Next-Step Record</w:t>
      </w:r>
    </w:p>
    <w:p>
      <w:pPr>
        <w:pStyle w:val="Heading1"/>
      </w:pPr>
      <w:r>
        <w:t>One Task, One Next Move</w:t>
      </w:r>
    </w:p>
    <w:p>
      <w:r>
        <w:t>Use a learner code if helpful. Record only what you need for the next teaching decision. Keep this record with the teacher.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What to record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  <w:t>Notes</w:t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Date and learner code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Task and story used; prior story exposure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Response mode, support and prompting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Question understanding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Detail accuracy and relevance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Explanation or two-clue inference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Selected teaching task and reason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864"/>
        </w:trPr>
        <w:tc>
          <w:tcPr>
            <w:tcW w:type="dxa" w:w="3600"/>
          </w:tcPr>
          <w:p>
            <w:pPr>
              <w:spacing w:after="80"/>
            </w:pPr>
            <w:r>
              <w:rPr>
                <w:sz w:val="20"/>
              </w:rPr>
              <w:t>Later task, timing and what to look for</w:t>
            </w:r>
          </w:p>
        </w:tc>
        <w:tc>
          <w:tcPr>
            <w:tcW w:type="dxa" w:w="7056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r>
        <w:t>Use the actual question and story criteria from the teacher guide. A single response does not establish a broad reading level.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Response and Next-Step Record</dc:title>
  <dc:subject>Evidence-reading bridge</dc:subject>
  <dc:creator>Mentor Teaching</dc:creator>
  <cp:keywords>question understanding, text evidence, inference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