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Reading Response and Next-Step Record</w:t>
      </w:r>
    </w:p>
    <w:p>
      <w:pPr>
        <w:pStyle w:val="Heading1"/>
      </w:pPr>
      <w:r>
        <w:t>One Task, One Next Move</w:t>
      </w:r>
    </w:p>
    <w:p>
      <w:r>
        <w:t>Use a learner code if helpful. Record only what you need for the next teaching decision. Keep this record with the teacher.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to 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Date and learner code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Task and story used; prior story exposure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Response mode, support and prompting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Question understanding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Detail accuracy and relevance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Explanation or two-clue inference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Selected teaching task and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task, timing and what to look for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the actual question and story criteria from the teacher guide. A single response does not establish a broad reading level.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Response and Next-Step Record</dc:title>
  <dc:subject>Evidence-reading bridge</dc:subject>
  <dc:creator>Mentor Teaching</dc:creator>
  <cp:keywords>question understanding, text evidence, inference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