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Talk About a Familiar Story</w:t>
      </w:r>
    </w:p>
    <w:p>
      <w:pPr>
        <w:pStyle w:val="Heading1"/>
      </w:pPr>
      <w:r>
        <w:t>Question, Detail and Connection at Home</w:t>
      </w:r>
    </w:p>
    <w:p>
      <w:r>
        <w:t>Use the lesson story Sharing the Score. Your child should already have used this story in class. Ask the teacher for the lesson pages if needed.</w:t>
      </w:r>
    </w:p>
    <w:p>
      <w:pPr>
        <w:pStyle w:val="ListBullet"/>
      </w:pPr>
      <w:r>
        <w:t>Read together in a way that is comfortable. You may talk in the language you usually use together.</w:t>
      </w:r>
    </w:p>
    <w:p>
      <w:pPr>
        <w:pStyle w:val="ListBullet"/>
      </w:pPr>
      <w:r>
        <w:t>Ask: What question were you answering?</w:t>
      </w:r>
    </w:p>
    <w:p>
      <w:pPr>
        <w:pStyle w:val="ListBullet"/>
      </w:pPr>
      <w:r>
        <w:t>Ask: Which detail helped, and how did it help?</w:t>
      </w:r>
    </w:p>
    <w:p>
      <w:pPr>
        <w:pStyle w:val="ListBullet"/>
      </w:pPr>
      <w:r>
        <w:t>Try a true but unrelated detail, such as the card colour. Ask why it gives less help with that question.</w:t>
      </w:r>
    </w:p>
    <w:p>
      <w:pPr>
        <w:pStyle w:val="ListBullet"/>
      </w:pPr>
      <w:r>
        <w:t>Let your child point, speak or write. A short conversation is enough; pause if it becomes frustrating.</w:t>
      </w:r>
    </w:p>
    <w:p>
      <w:r>
        <w:t>You do not need to mark a score or choose a teaching group. If useful, tell the teacher what your child could explain and whether you read together. Keep later classroom checks for use with the teacher.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Talk About a Familiar Story</dc:title>
  <dc:subject>Evidence-reading bridge</dc:subject>
  <dc:creator>Mentor Teaching</dc:creator>
  <cp:keywords>question understanding, text evidence, inference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