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Mathematics Response and Next-Step Record</w:t>
      </w:r>
    </w:p>
    <w:p>
      <w:pPr>
        <w:pStyle w:val="Heading1"/>
      </w:pPr>
      <w:r>
        <w:t>One Task, One Next Move</w:t>
      </w:r>
    </w:p>
    <w:p>
      <w:r>
        <w:t>Keep this record with the teacher. Use a learner code if helpful; record only information needed for the next teaching decision.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What to record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  <w:t>Notes</w:t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Date, learner code and task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Prior use of this example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Response mode and support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Group roles and unknown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Comparison baseline: copies or difference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Equal shares and fixed measured unit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Computation and explanation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Next teaching task and reason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Later task and what to look for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</w:tbl>
    <w:p>
      <w:r>
        <w:t>Use the actual task and teacher criteria. Do not turn these observations into a broad placement score.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Mathematics Response and Next-Step Record</dc:title>
  <dc:subject>Equal groups, comparisons and equal shares</dc:subject>
  <dc:creator>Mentor Teaching</dc:creator>
  <cp:keywords>equal groups, multiplicative comparison, fractions, equal shares</cp:keywords>
  <dc:description/>
  <cp:lastModifiedBy>Mentor Teaching</cp:lastModifiedBy>
  <cp:revision>1</cp:revision>
  <dcterms:created xsi:type="dcterms:W3CDTF">2013-12-23T23:15:00Z</dcterms:created>
  <dcterms:modified xsi:type="dcterms:W3CDTF">2013-12-23T23:15:00Z</dcterms:modified>
  <cp:category/>
</cp:coreProperties>
</file>