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Explain What Changes and What Stays Fixed</w:t>
      </w:r>
    </w:p>
    <w:p>
      <w:pPr>
        <w:pStyle w:val="Heading1"/>
      </w:pPr>
      <w:r>
        <w:t>Compare Two Arrangements</w:t>
      </w:r>
    </w:p>
    <w:p>
      <w:r>
        <w:t>Use familiar amounts from the lesson pages. Explain rather than only giving a calculation.</w:t>
      </w:r>
    </w:p>
    <w:p>
      <w:pPr>
        <w:spacing w:after="0"/>
      </w:pPr>
      <w:r>
        <w:t>1. Twenty counters are first in 4 equal groups and then in 10 equal groups. Compare the group sizes. Explain why more groups do not mean more counters in each group here.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/>
      </w:pPr>
      <w:r>
        <w:t>2. For 2 m shared among 3 projects, a share is 1/3 of the total ribbon and 2/3 of one meter. Can both statements be correct? Explain or draw their different wholes.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 What Changes and What Stays Fixed</dc:title>
  <dc:subject>Equal groups, comparisons and equal shares</dc:subject>
  <dc:creator>Mentor Teaching</dc:creator>
  <cp:keywords>equal groups, multiplicative comparison, fractions, equal shares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