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Talk About Familiar Groups and Shares</w:t>
      </w:r>
    </w:p>
    <w:p>
      <w:pPr>
        <w:pStyle w:val="Heading1"/>
      </w:pPr>
      <w:r>
        <w:t>A Short Mathematics Conversation</w:t>
      </w:r>
    </w:p>
    <w:p>
      <w:r>
        <w:t>Use the lesson’s 20 counters and 2 m ribbon shared among 3 projects only after your child has practised these examples in class. Ask for the lesson pages if useful.</w:t>
      </w:r>
    </w:p>
    <w:p>
      <w:pPr>
        <w:pStyle w:val="ListBullet"/>
      </w:pPr>
      <w:r>
        <w:t>Talk in a language and response mode that are comfortable. Your child may point to a drawing or explain aloud.</w:t>
      </w:r>
    </w:p>
    <w:p>
      <w:pPr>
        <w:pStyle w:val="ListBullet"/>
      </w:pPr>
      <w:r>
        <w:t>Ask: What is the total? What does the group number count? What are you finding?</w:t>
      </w:r>
    </w:p>
    <w:p>
      <w:pPr>
        <w:pStyle w:val="ListBullet"/>
      </w:pPr>
      <w:r>
        <w:t>Ask: What does one whole meter mean in this drawing? How do the three equal shares use all the ribbon?</w:t>
      </w:r>
    </w:p>
    <w:p>
      <w:pPr>
        <w:pStyle w:val="ListBullet"/>
      </w:pPr>
      <w:r>
        <w:t>Let your child explain their own idea. If a question is confusing, pause and tell the teacher which wording or part was difficult.</w:t>
      </w:r>
    </w:p>
    <w:p>
      <w:pPr>
        <w:pStyle w:val="ListBullet"/>
      </w:pPr>
      <w:r>
        <w:t>A few minutes is enough. You do not need equipment, a score or a teaching-group decision.</w:t>
      </w:r>
    </w:p>
    <w:p>
      <w:r>
        <w:t>Keep later classroom checks with the teacher. If helpful, share what your child could explain and what support you used.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Talk About Familiar Groups and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