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here: Evidence Writing</w:t>
      </w:r>
    </w:p>
    <w:p>
      <w:r>
        <w:t>C07 · v1.0.0 · shared/start-here · page 1 of 2</w:t>
      </w:r>
    </w:p>
    <w:p>
      <w:r>
        <w:t>Teach, Respond and Revise · C07 v1.0.0 · Grade 6 ELA</w:t>
      </w:r>
    </w:p>
    <w:p>
      <w:r>
        <w:t>One complete composition cycle connecting accepted L07 evidence paragraphs and L08 clarity/coherence revision to G6W01 check and response tasks.</w:t>
      </w:r>
    </w:p>
    <w:p>
      <w:pPr>
        <w:pStyle w:val="Heading1"/>
      </w:pPr>
      <w:r>
        <w:t>1. Teach the two different moves</w:t>
      </w:r>
    </w:p>
    <w:p>
      <w:r>
        <w:t>Use L07 v0.1.2 for a focused claim, accurate relevant evidence, explanation and readable ending. Use L08 v0.1.4 for clear references, connected order, preservation of every stated fact/result and a meaningful revision explanation.</w:t>
      </w:r>
    </w:p>
    <w:p>
      <w:pPr>
        <w:pStyle w:val="Heading1"/>
      </w:pPr>
      <w:r>
        <w:t>2. Give the selected check</w:t>
      </w:r>
    </w:p>
    <w:p>
      <w:r>
        <w:t>Use student/check-only.pdf, DOCX or HTML after teaching. It contains a writing source and a different revision draft, task conditions and response room. Do not show the teacher key beforehand.</w:t>
      </w:r>
    </w:p>
    <w:p>
      <w:pPr>
        <w:pStyle w:val="Heading1"/>
      </w:pPr>
      <w:r>
        <w:t>3. Choose a concrete response task</w:t>
      </w:r>
    </w:p>
    <w:p>
      <w:r>
        <w:t>Use route-continue, route-clarify, route-reteach or route-extend from tentative criterion evidence and response conditions. The four routes share exposed practice texts and give different work. They are not student categories or mastery levels.</w:t>
      </w:r>
    </w:p>
    <w:p>
      <w:pPr>
        <w:pStyle w:val="Heading1"/>
      </w:pPr>
      <w:r>
        <w:t>4. Reserve new evidence</w:t>
      </w:r>
    </w:p>
    <w:p>
      <w:r>
        <w:t>Keep student/fresh-recheck and student/later-transfer unused until their planned occasions. Different passages are not calibrated equivalent forms. Record supports and exposure before interpreting a response.</w:t>
      </w:r>
    </w:p>
    <w:p>
      <w:pPr>
        <w:pStyle w:val="Heading1"/>
      </w:pPr>
      <w:r>
        <w:t>Prepare files</w:t>
      </w:r>
    </w:p>
    <w:p>
      <w:r>
        <w:t>Teacher-only classroom ZIP: open this Start Here first, then teacher/teacher-guide for keys and print selections. Give students only the selected student file. All nine new documents have PDF, editable DOCX and usable HTML versions. Original L07/L08 files are exact copies inside the ZIP.</w:t>
      </w:r>
    </w:p>
    <w:p>
      <w:r>
        <w:t>Original fictional instructional text. Classroom effectiveness has not been established. Current review scope and publication status are recorded on the resource page; optional human feedback is not a mandatory release gate.</w:t>
      </w:r>
    </w:p>
    <w:p>
      <w:r>
        <w:rPr>
          <w:sz w:val="18"/>
        </w:rPr>
        <w:t>Mentor Teaching · AI-authored · C07 v1.0.0</w:t>
      </w:r>
    </w:p>
    <w:p>
      <w:r>
        <w:br w:type="page"/>
      </w:r>
    </w:p>
    <w:p>
      <w:pPr>
        <w:pStyle w:val="Title"/>
      </w:pPr>
      <w:r>
        <w:t>Start here: choose files and record conditions</w:t>
      </w:r>
    </w:p>
    <w:p>
      <w:r>
        <w:t>C07 · v1.0.0 · shared/start-here · page 2 of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</w:tcPr>
          <w:p>
            <w:r>
              <w:t>Need</w:t>
            </w:r>
          </w:p>
        </w:tc>
        <w:tc>
          <w:tcPr>
            <w:tcW w:type="dxa" w:w="3456"/>
          </w:tcPr>
          <w:p>
            <w:r>
              <w:t>Choose this file stem</w:t>
            </w:r>
          </w:p>
        </w:tc>
        <w:tc>
          <w:tcPr>
            <w:tcW w:type="dxa" w:w="3456"/>
          </w:tcPr>
          <w:p>
            <w:r>
              <w:t>PDF pages</w:t>
            </w:r>
          </w:p>
        </w:tc>
      </w:tr>
      <w:tr>
        <w:tc>
          <w:tcPr>
            <w:tcW w:type="dxa" w:w="3456"/>
          </w:tcPr>
          <w:p>
            <w:r>
              <w:t>Initial check</w:t>
            </w:r>
          </w:p>
        </w:tc>
        <w:tc>
          <w:tcPr>
            <w:tcW w:type="dxa" w:w="3456"/>
          </w:tcPr>
          <w:p>
            <w:r>
              <w:t>student/check-only</w:t>
            </w:r>
          </w:p>
        </w:tc>
        <w:tc>
          <w:tcPr>
            <w:tcW w:type="dxa" w:w="3456"/>
          </w:tcPr>
          <w:p>
            <w:r>
              <w:t>1–4</w:t>
            </w:r>
          </w:p>
        </w:tc>
      </w:tr>
      <w:tr>
        <w:tc>
          <w:tcPr>
            <w:tcW w:type="dxa" w:w="3456"/>
          </w:tcPr>
          <w:p>
            <w:r>
              <w:t>Supported current response</w:t>
            </w:r>
          </w:p>
        </w:tc>
        <w:tc>
          <w:tcPr>
            <w:tcW w:type="dxa" w:w="3456"/>
          </w:tcPr>
          <w:p>
            <w:r>
              <w:t>student/route-continue</w:t>
            </w:r>
          </w:p>
        </w:tc>
        <w:tc>
          <w:tcPr>
            <w:tcW w:type="dxa" w:w="3456"/>
          </w:tcPr>
          <w:p>
            <w:r>
              <w:t>1–4</w:t>
            </w:r>
          </w:p>
        </w:tc>
      </w:tr>
      <w:tr>
        <w:tc>
          <w:tcPr>
            <w:tcW w:type="dxa" w:w="3456"/>
          </w:tcPr>
          <w:p>
            <w:r>
              <w:t>Uncertain response/access</w:t>
            </w:r>
          </w:p>
        </w:tc>
        <w:tc>
          <w:tcPr>
            <w:tcW w:type="dxa" w:w="3456"/>
          </w:tcPr>
          <w:p>
            <w:r>
              <w:t>student/route-clarify</w:t>
            </w:r>
          </w:p>
        </w:tc>
        <w:tc>
          <w:tcPr>
            <w:tcW w:type="dxa" w:w="3456"/>
          </w:tcPr>
          <w:p>
            <w:r>
              <w:t>1–4</w:t>
            </w:r>
          </w:p>
        </w:tc>
      </w:tr>
      <w:tr>
        <w:tc>
          <w:tcPr>
            <w:tcW w:type="dxa" w:w="3456"/>
          </w:tcPr>
          <w:p>
            <w:r>
              <w:t>Model and rebuild a move</w:t>
            </w:r>
          </w:p>
        </w:tc>
        <w:tc>
          <w:tcPr>
            <w:tcW w:type="dxa" w:w="3456"/>
          </w:tcPr>
          <w:p>
            <w:r>
              <w:t>student/route-reteach</w:t>
            </w:r>
          </w:p>
        </w:tc>
        <w:tc>
          <w:tcPr>
            <w:tcW w:type="dxa" w:w="3456"/>
          </w:tcPr>
          <w:p>
            <w:r>
              <w:t>1–5</w:t>
            </w:r>
          </w:p>
        </w:tc>
      </w:tr>
      <w:tr>
        <w:tc>
          <w:tcPr>
            <w:tcW w:type="dxa" w:w="3456"/>
          </w:tcPr>
          <w:p>
            <w:r>
              <w:t>Compare choices and limits</w:t>
            </w:r>
          </w:p>
        </w:tc>
        <w:tc>
          <w:tcPr>
            <w:tcW w:type="dxa" w:w="3456"/>
          </w:tcPr>
          <w:p>
            <w:r>
              <w:t>student/route-extend</w:t>
            </w:r>
          </w:p>
        </w:tc>
        <w:tc>
          <w:tcPr>
            <w:tcW w:type="dxa" w:w="3456"/>
          </w:tcPr>
          <w:p>
            <w:r>
              <w:t>1–6</w:t>
            </w:r>
          </w:p>
        </w:tc>
      </w:tr>
      <w:tr>
        <w:tc>
          <w:tcPr>
            <w:tcW w:type="dxa" w:w="3456"/>
          </w:tcPr>
          <w:p>
            <w:r>
              <w:t>Unused follow-up</w:t>
            </w:r>
          </w:p>
        </w:tc>
        <w:tc>
          <w:tcPr>
            <w:tcW w:type="dxa" w:w="3456"/>
          </w:tcPr>
          <w:p>
            <w:r>
              <w:t>student/fresh-recheck</w:t>
            </w:r>
          </w:p>
        </w:tc>
        <w:tc>
          <w:tcPr>
            <w:tcW w:type="dxa" w:w="3456"/>
          </w:tcPr>
          <w:p>
            <w:r>
              <w:t>1–4</w:t>
            </w:r>
          </w:p>
        </w:tc>
      </w:tr>
      <w:tr>
        <w:tc>
          <w:tcPr>
            <w:tcW w:type="dxa" w:w="3456"/>
          </w:tcPr>
          <w:p>
            <w:r>
              <w:t>Unused later context</w:t>
            </w:r>
          </w:p>
        </w:tc>
        <w:tc>
          <w:tcPr>
            <w:tcW w:type="dxa" w:w="3456"/>
          </w:tcPr>
          <w:p>
            <w:r>
              <w:t>student/later-transfer</w:t>
            </w:r>
          </w:p>
        </w:tc>
        <w:tc>
          <w:tcPr>
            <w:tcW w:type="dxa" w:w="3456"/>
          </w:tcPr>
          <w:p>
            <w:r>
              <w:t>1–4</w:t>
            </w:r>
          </w:p>
        </w:tc>
      </w:tr>
      <w:tr>
        <w:tc>
          <w:tcPr>
            <w:tcW w:type="dxa" w:w="3456"/>
          </w:tcPr>
          <w:p>
            <w:r>
              <w:t>Keys and local records</w:t>
            </w:r>
          </w:p>
        </w:tc>
        <w:tc>
          <w:tcPr>
            <w:tcW w:type="dxa" w:w="3456"/>
          </w:tcPr>
          <w:p>
            <w:r>
              <w:t>teacher/teacher-guide</w:t>
            </w:r>
          </w:p>
        </w:tc>
        <w:tc>
          <w:tcPr>
            <w:tcW w:type="dxa" w:w="3456"/>
          </w:tcPr>
          <w:p>
            <w:r>
              <w:t>1–17</w:t>
            </w:r>
          </w:p>
        </w:tc>
      </w:tr>
      <w:tr>
        <w:tc>
          <w:tcPr>
            <w:tcW w:type="dxa" w:w="3456"/>
          </w:tcPr>
          <w:p>
            <w:r>
              <w:t>Teacher preparation</w:t>
            </w:r>
          </w:p>
        </w:tc>
        <w:tc>
          <w:tcPr>
            <w:tcW w:type="dxa" w:w="3456"/>
          </w:tcPr>
          <w:p>
            <w:r>
              <w:t>shared/start-here</w:t>
            </w:r>
          </w:p>
        </w:tc>
        <w:tc>
          <w:tcPr>
            <w:tcW w:type="dxa" w:w="3456"/>
          </w:tcPr>
          <w:p>
            <w:r>
              <w:t>1–2</w:t>
            </w:r>
          </w:p>
        </w:tc>
      </w:tr>
    </w:tbl>
    <w:p>
      <w:r>
        <w:t>Use each selected student PDF in full, including the explanation page. Print one-sided or duplex locally; do not combine reserved selections into a student packet. Use extra labeled paper or type if more room is needed. Editable/native DOCX contains text and response paragraphs; pagination depends on local software. HTML reflows for screen reading and prints with the same content.</w:t>
      </w:r>
    </w:p>
    <w:p>
      <w:r>
        <w:t>ZIP foundations: downloads/l07/v0.1.2/ and downloads/l08/v0.1.4/ preserve original filenames, versions and bytes. VERSION-MAP.json lists every original path and SHA256. L07 includes the learner PowerPoint; L08 has teacher and learner PDF/DOCX. Existing lesson texts are practice after exposure.</w:t>
      </w:r>
    </w:p>
    <w:p>
      <w:r>
        <w:t>Record task/version, exposure, response mode and exact help. Reading aloud, chunking, text-to-speech, oral rehearsal, dictation and typing may support access when appropriate. Preserve the learner’s claim, evidence and wording choices. Keep student identifiers and records locally.</w:t>
      </w:r>
    </w:p>
    <w:p>
      <w:r>
        <w:t>Scope: eight distinct L07/L08 criteria; tentative next teaching moves. No diagnosis, ranking, mastery cutoff, equivalent-form calibration, physical print trial, assistive-technology conformance or learner-outcome evidence is claimed.</w:t>
      </w:r>
    </w:p>
    <w:p>
      <w:r>
        <w:rPr>
          <w:sz w:val="18"/>
        </w:rPr>
        <w:t>Mentor Teaching · AI-authored · C07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here: Evidence Writing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