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Heading2"/>
      </w:pPr>
      <w:r>
        <w:t>New short check · Apply the correction</w:t>
      </w:r>
    </w:p>
    <w:p>
      <w:pPr>
        <w:pStyle w:val="Setup"/>
      </w:pPr>
      <w:r>
        <w:t>Data F-check uses fresh 100 g samples starting at 11°C in a 23°C room. Cups, lids, 20-minute exposure, and thermometer method match within and across three separate trials.</w:t>
      </w:r>
    </w:p>
    <w:p>
      <w:pPr>
        <w:pStyle w:val="Caption"/>
      </w:pPr>
      <w:r>
        <w:t>Final water temperatures after 20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R: final °C</w:t>
            </w:r>
          </w:p>
        </w:tc>
        <w:tc>
          <w:tcPr>
            <w:shd w:fill="E5EAF0"/>
          </w:tcPr>
          <w:p>
            <w:pPr/>
            <w:r>
              <w:t>Sleeve S: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 xml:space="preserve">4. Which design has the lower endpoint in each trial? Revise ‘S is always better’ into a claim the complete record supports.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recheck after reteaching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