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8: Finish retesting and explain the limits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50–65 minutes; add supervised continuation for delays or repeats. Planning estimate; adjust to the class.</w:t>
      </w:r>
    </w:p>
    <w:p>
      <w:r>
        <w:t>Accurate decimal °C/time reading; calculate change; measure 150 mL; follow the matched-pair and probe-position procedure. Carry forward the preceding session evidence. The adult must check the current complete operational guide, equipment and room/water conditions before handling. Bring the original/redesign versions, retained proposal, first-phase records, R1 and the pre-phase instrument check.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Practical retest: directions, instrument checks and trials 2–3</w:t>
        </w:r>
      </w:hyperlink>
    </w:p>
    <w:p>
      <w:hyperlink r:id="rId10">
        <w:r>
          <w:rPr>
            <w:u w:val="single"/>
          </w:rPr>
          <w:t>2. Practical results: reassess and explain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Recheck current room/water/equipment conditions after any continuation break. Complete fresh R2 and R3 against the original sleeve using the printed order: R2 original right/B and redesign left/A; R3 original left/A and redesign right/B. Follow the response wait, volume/start checks, 0/5/10 readings and 5-minute conditioning/reset; retain all departures.</w:t>
      </w:r>
    </w:p>
    <w:p>
      <w:pPr>
        <w:pStyle w:val="Heading1"/>
      </w:pPr>
      <w:r>
        <w:t>Learner work and evidence</w:t>
      </w:r>
    </w:p>
    <w:p>
      <w:r>
        <w:t>Complete the post-phase instrument check. Compare all three retests and the first phase without silently merging conditions from different days. Give the separate Reassess and explain pages. Collect raw readings, a bounded result, a reasoned revision and a useful next test. Worse, negligible, mixed and inconclusive results are legitimate.</w:t>
      </w:r>
    </w:p>
    <w:p>
      <w:pPr>
        <w:pStyle w:val="Heading1"/>
      </w:pPr>
      <w:r>
        <w:t>Next decision and continuation</w:t>
      </w:r>
    </w:p>
    <w:p>
      <w:r>
        <w:t>Flag mismatch, drift, missing readings or wet/changed sleeves as the procedure requires. Clean up with the teacher. If safe equipment/conditions are unavailable, use the separate supplied-data Part 1 then Part 2 and identify the work as fictional-record analysis; it does not replace missing measured results or demonstrate construction/testing. Keep the later reasoning assessment reserved.</w:t>
      </w:r>
    </w:p>
    <w:p>
      <w:pPr>
        <w:pStyle w:val="Heading1"/>
      </w:pPr>
      <w:r>
        <w:t>Matching complete teacher key</w:t>
      </w:r>
    </w:p>
    <w:p>
      <w:r>
        <w:t>Use the current complete operational guide’s retest, reassessment and explanation keys. The later reasoning check is a separate later task, not part of today’s primary handout.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cool-water-design-investigation/cool-water-design-investigation-retest-2-3.pdf" TargetMode="External"/><Relationship Id="rId10" Type="http://schemas.openxmlformats.org/officeDocument/2006/relationships/hyperlink" Target="https://mentorteaching.com/downloads/classroom-edition-2026-10-15/cool-water-design-investigation/cool-water-design-investigation-reflection.pdf" TargetMode="External"/><Relationship Id="rId11" Type="http://schemas.openxmlformats.org/officeDocument/2006/relationships/hyperlink" Target="https://mentorteaching.com/downloads/classroom-edition-2026-10-06/teacher-reference/cool-water-design-investigation-teacher-guide-with-navig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8: Finish retesting and explain the limits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