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7: Commit the redesign and start retesting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45–60 minutes; allow continuation and complete the first phase beforehand. Planning estimate; adjust to the class.</w:t>
      </w:r>
    </w:p>
    <w:p>
      <w:r>
        <w:t>Accurate decimal °C/time reading; calculate change; measure 150 mL; follow the matched-pair and probe-position procedure. Carry forward the preceding session evidence. The adult must check the current complete operational guide, equipment and room/water conditions before handling. Three retained first-comparison records and the original construction version are required.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Practical redesign: commit the plan</w:t>
        </w:r>
      </w:hyperlink>
    </w:p>
    <w:p>
      <w:hyperlink r:id="rId10">
        <w:r>
          <w:rPr>
            <w:u w:val="single"/>
          </w:rPr>
          <w:t>2. Practical retest: instrument checks and trial 1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Compare the completed F1–F3 records before designing. Retain the original version. The redesign is compared with the original one-sheet sleeve, not the bare cup. Check the prediction, changed feature, two-sheet/30 cm tape limits, footprint/height limits and uncovered base/top/probe slot. Teacher checks safe fit and insertion depth before water use.</w:t>
      </w:r>
    </w:p>
    <w:p>
      <w:pPr>
        <w:pStyle w:val="Heading1"/>
      </w:pPr>
      <w:r>
        <w:t>Learner work and evidence</w:t>
      </w:r>
    </w:p>
    <w:p>
      <w:r>
        <w:t>Retain the learner’s plan and prediction before testing. Run R1 using a fresh matched water pair and the printed retest order: original sleeve left/A, redesigned sleeve right/B. Record all standard conditions, 0/5/10 readings, actual times and room air. Save the pre-phase instrument check and plan for session 8.</w:t>
      </w:r>
    </w:p>
    <w:p>
      <w:pPr>
        <w:pStyle w:val="Heading1"/>
      </w:pPr>
      <w:r>
        <w:t>Next decision and continuation</w:t>
      </w:r>
    </w:p>
    <w:p>
      <w:r>
        <w:t>If any F trial is unfinished, continue that phase first. Do not count a proposed redesign as physically tested. At a break, drain/clean/store dry labelled versions; retain the R1 log. The next session completes R2–R3 with fresh pairs. Never substitute the fictional retest values for missing empirical readings.</w:t>
      </w:r>
    </w:p>
    <w:p>
      <w:pPr>
        <w:pStyle w:val="Heading1"/>
      </w:pPr>
      <w:r>
        <w:t>Matching complete teacher key</w:t>
      </w:r>
    </w:p>
    <w:p>
      <w:r>
        <w:t>Use the current complete operational guide for redesign, retest reference/order, phase checks and redesign keys. Keep the later reasoning check unseen.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cool-water-design-investigation/cool-water-design-investigation-redesign-plan.pdf" TargetMode="External"/><Relationship Id="rId10" Type="http://schemas.openxmlformats.org/officeDocument/2006/relationships/hyperlink" Target="https://mentorteaching.com/downloads/classroom-edition-2026-10-15/cool-water-design-investigation/cool-water-design-investigation-retest-1.pdf" TargetMode="External"/><Relationship Id="rId11" Type="http://schemas.openxmlformats.org/officeDocument/2006/relationships/hyperlink" Target="https://mentorteaching.com/downloads/classroom-edition-2026-10-06/teacher-reference/cool-water-design-investigation-teacher-guide-with-navig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7: Commit the redesign and start retesting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