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5: Complete the paper design cycle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55–70 minutes, usually two 45-minute blocks. Planning estimate; adjust to the class.</w:t>
      </w:r>
    </w:p>
    <w:p>
      <w:r>
        <w:t>Check comparable trials, bound a claim, and revise it. The bridge introduces criteria, constraints and predictions.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Requirements, model and guided practice</w:t>
        </w:r>
      </w:hyperlink>
    </w:p>
    <w:p>
      <w:hyperlink r:id="rId10">
        <w:r>
          <w:rPr>
            <w:u w:val="single"/>
          </w:rPr>
          <w:t>2. Independent challenge: proposal first</w:t>
        </w:r>
      </w:hyperlink>
    </w:p>
    <w:p>
      <w:hyperlink r:id="rId11">
        <w:r>
          <w:rPr>
            <w:u w:val="single"/>
          </w:rPr>
          <w:t>3. Independent challenge: new redesign evidence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Teach Requirements, then check every trial, token budget and thickness in the model. Distinguish performance criteria from constraints and state a priority between feasible designs. Guide the tradeoff task.</w:t>
      </w:r>
    </w:p>
    <w:p>
      <w:pPr>
        <w:pStyle w:val="Heading1"/>
      </w:pPr>
      <w:r>
        <w:t>Learner work and evidence</w:t>
      </w:r>
    </w:p>
    <w:p>
      <w:r>
        <w:t>Give Proposal first and retain the proposal/test plan. Only then reveal New redesign evidence. These are specified fictional designs, not results from students’ unbuilt proposals. Collect feasibility, priority, proposed matched test and a revised bounded claim.</w:t>
      </w:r>
    </w:p>
    <w:p>
      <w:pPr>
        <w:pStyle w:val="Heading1"/>
      </w:pPr>
      <w:r>
        <w:t>Next decision and continuation</w:t>
      </w:r>
    </w:p>
    <w:p>
      <w:r>
        <w:t>Break after guided practice if a second block is needed. Choose Meet every requirement or Propose a relevant test from the response evidence, then its separate fresh recheck. Keep changed-requirements and new-environment later tasks reserved. This paper cycle does not establish physical construction/testing.</w:t>
      </w:r>
    </w:p>
    <w:p>
      <w:pPr>
        <w:pStyle w:val="Heading1"/>
      </w:pPr>
      <w:r>
        <w:t>Matching complete teacher key</w:t>
      </w:r>
    </w:p>
    <w:p>
      <w:r>
        <w:t>Teacher guide pages 1–5 match the bridge through proposal/reveal; pages 6–8 cover follow-ups and later checks; page 9 gives science/standards limits.</w:t>
      </w:r>
    </w:p>
    <w:p>
      <w:hyperlink r:id="rId12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choose-test-improve-a-thermal-protector/choose-test-improve-a-thermal-protector-model-and-guided-practice.pdf" TargetMode="External"/><Relationship Id="rId10" Type="http://schemas.openxmlformats.org/officeDocument/2006/relationships/hyperlink" Target="https://mentorteaching.com/downloads/classroom-edition-2026-10-15/choose-test-improve-a-thermal-protector/choose-test-improve-a-thermal-protector-independent-proposal.pdf" TargetMode="External"/><Relationship Id="rId11" Type="http://schemas.openxmlformats.org/officeDocument/2006/relationships/hyperlink" Target="https://mentorteaching.com/downloads/classroom-edition-2026-10-15/choose-test-improve-a-thermal-protector/choose-test-improve-a-thermal-protector-redesign-evidence.pdf" TargetMode="External"/><Relationship Id="rId12" Type="http://schemas.openxmlformats.org/officeDocument/2006/relationships/hyperlink" Target="https://mentorteaching.com/downloads/classroom-edition-2026-10-01/thermal-energy/improve-a-thermal-protector/improve-a-thermal-protector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5: Complete the paper design cycle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