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Practical session 3: Support a design choice with trials</w:t>
      </w:r>
    </w:p>
    <w:p>
      <w:r>
        <w:t>Mentor Teaching · Teacher directions · 15 October 2026</w:t>
      </w:r>
    </w:p>
    <w:p>
      <w:pPr>
        <w:pStyle w:val="Heading1"/>
      </w:pPr>
      <w:r>
        <w:t>Plan and prerequisites</w:t>
      </w:r>
    </w:p>
    <w:p>
      <w:r>
        <w:t>36–44 minutes. Planning estimate; adjust to the class.</w:t>
      </w:r>
    </w:p>
    <w:p>
      <w:r>
        <w:t>Read temperature changes and identify comparable conditions. Use the bridge if entering directly.</w:t>
      </w:r>
    </w:p>
    <w:p>
      <w:pPr>
        <w:pStyle w:val="Heading1"/>
      </w:pPr>
      <w:r>
        <w:t>Print in this order</w:t>
      </w:r>
    </w:p>
    <w:p>
      <w:hyperlink r:id="rId9">
        <w:r>
          <w:rPr>
            <w:u w:val="single"/>
          </w:rPr>
          <w:t>1. Prerequisite bridge, model and guided practice</w:t>
        </w:r>
      </w:hyperlink>
    </w:p>
    <w:p>
      <w:hyperlink r:id="rId10">
        <w:r>
          <w:rPr>
            <w:u w:val="single"/>
          </w:rPr>
          <w:t>2. Independent check</w:t>
        </w:r>
      </w:hyperlink>
    </w:p>
    <w:p>
      <w:r>
        <w:t>Give each independent or new-evidence file only at the stage described below. Keep answers with the teacher.</w:t>
      </w:r>
    </w:p>
    <w:p>
      <w:pPr>
        <w:pStyle w:val="Heading1"/>
      </w:pPr>
      <w:r>
        <w:t>Teach and demonstrate</w:t>
      </w:r>
    </w:p>
    <w:p>
      <w:r>
        <w:t>Use the model to compare complete sleeve designs across all supplied matched trials. Show a bounded claim and a useful limit. Guide Check every trial without naming the independent task’s design choice.</w:t>
      </w:r>
    </w:p>
    <w:p>
      <w:pPr>
        <w:pStyle w:val="Heading1"/>
      </w:pPr>
      <w:r>
        <w:t>Learner work and evidence</w:t>
      </w:r>
    </w:p>
    <w:p>
      <w:r>
        <w:t>Give Choose from new results after guided practice. Collect trial-by-trial comparisons and an appropriately limited choice, including a mixed or uncertain result when warranted.</w:t>
      </w:r>
    </w:p>
    <w:p>
      <w:pPr>
        <w:pStyle w:val="Heading1"/>
      </w:pPr>
      <w:r>
        <w:t>Next decision and continuation</w:t>
      </w:r>
    </w:p>
    <w:p>
      <w:r>
        <w:t>Use Compare the measurements for reading errors. Use all results and limit the claim addresses cherry-picking or always claims; give its fresh recheck only after teaching. Retain Later assessment.</w:t>
      </w:r>
    </w:p>
    <w:p>
      <w:pPr>
        <w:pStyle w:val="Heading1"/>
      </w:pPr>
      <w:r>
        <w:t>Matching complete teacher key</w:t>
      </w:r>
    </w:p>
    <w:p>
      <w:r>
        <w:t>Teacher guide pages 1–5; follow-up keys on pages 6–7 and later key on page 8.</w:t>
      </w:r>
    </w:p>
    <w:p>
      <w:hyperlink r:id="rId11">
        <w:r>
          <w:rPr>
            <w:u w:val="single"/>
          </w:rPr>
          <w:t>Open the matching complete teacher guide</w:t>
        </w:r>
      </w:hyperlink>
    </w:p>
    <w:p>
      <w:pPr>
        <w:pStyle w:val="Heading1"/>
      </w:pPr>
      <w:r>
        <w:t>Access and interpretation</w:t>
      </w:r>
    </w:p>
    <w:p>
      <w:r>
        <w:t>Offer oral, dictated, pointing or labelled responses when they show the same intended reasoning. Keep each task’s quantities, conditions and sources available. Allow extra response paper. A supplied-data explanation does not establish actual construction or testing.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ntorteaching.com/downloads/classroom-edition-2026-10-15/which-design-is-better-supported/which-design-is-better-supported-model-and-guided-practice.pdf" TargetMode="External"/><Relationship Id="rId10" Type="http://schemas.openxmlformats.org/officeDocument/2006/relationships/hyperlink" Target="https://mentorteaching.com/downloads/classroom-edition-2026-10-15/which-design-is-better-supported/which-design-is-better-supported-independent-check.pdf" TargetMode="External"/><Relationship Id="rId11" Type="http://schemas.openxmlformats.org/officeDocument/2006/relationships/hyperlink" Target="https://mentorteaching.com/downloads/classroom-edition-2026-10-01/thermal-energy/support-a-design-choice/support-a-design-choice-teacher-guid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session 3: Support a design choice with trials</dc:title>
  <dc:subject/>
  <dc:creator>Mentor Teaching</dc:creator>
  <cp:keywords/>
  <dc:description/>
  <cp:lastModifiedBy>Mentor Teaching</cp:lastModifiedBy>
  <cp:revision>1</cp:revision>
  <dcterms:created xsi:type="dcterms:W3CDTF">2026-10-15T12:53:44Z</dcterms:created>
  <dcterms:modified xsi:type="dcterms:W3CDTF">2026-10-15T12:53:44Z</dcterms:modified>
  <cp:category/>
</cp:coreProperties>
</file>