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Practical session 2: Evaluate comparison conditions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35–45 minutes. Planning estimate; adjust to the class.</w:t>
      </w:r>
    </w:p>
    <w:p>
      <w:r>
        <w:t>Evidence of accurate start/final/change reading from session 1, or the included prerequisite bridge.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Prerequisite bridge, model and guided practice</w:t>
        </w:r>
      </w:hyperlink>
    </w:p>
    <w:p>
      <w:hyperlink r:id="rId10">
        <w:r>
          <w:rPr>
            <w:u w:val="single"/>
          </w:rPr>
          <w:t>2. Independent check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Model how to name the question before checking conditions. Compare water amount, start temperature, duration, cups/covers, room, position and reading method. Explain why subtracting starts does not remove an unequal-mass confound. Guide the setup-card repair.</w:t>
      </w:r>
    </w:p>
    <w:p>
      <w:pPr>
        <w:pStyle w:val="Heading1"/>
      </w:pPr>
      <w:r>
        <w:t>Learner work and evidence</w:t>
      </w:r>
    </w:p>
    <w:p>
      <w:r>
        <w:t>Give Fresh critique after guided work. Collect the named confound, a matched plan, what to record and a limit on what the comparison would show.</w:t>
      </w:r>
    </w:p>
    <w:p>
      <w:pPr>
        <w:pStyle w:val="Heading1"/>
      </w:pPr>
      <w:r>
        <w:t>Next decision and continuation</w:t>
      </w:r>
    </w:p>
    <w:p>
      <w:r>
        <w:t>Choose Repair the comparison for a confound, or Specify a usable plan for a missing procedure. Do not treat a repaired paper plan as a completed physical experiment.</w:t>
      </w:r>
    </w:p>
    <w:p>
      <w:pPr>
        <w:pStyle w:val="Heading1"/>
      </w:pPr>
      <w:r>
        <w:t>Matching complete teacher key</w:t>
      </w:r>
    </w:p>
    <w:p>
      <w:r>
        <w:t>Teacher guide pages 1–4; named follow-ups on pages 5–6 and later key on page 7.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was-it-a-fair-comparison/was-it-a-fair-comparison-model-and-guided-practice.pdf" TargetMode="External"/><Relationship Id="rId10" Type="http://schemas.openxmlformats.org/officeDocument/2006/relationships/hyperlink" Target="https://mentorteaching.com/downloads/classroom-edition-2026-10-15/was-it-a-fair-comparison/was-it-a-fair-comparison-independent-check.pdf" TargetMode="External"/><Relationship Id="rId11" Type="http://schemas.openxmlformats.org/officeDocument/2006/relationships/hyperlink" Target="https://mentorteaching.com/downloads/classroom-edition-2026-10-01/thermal-energy/compare-test-conditions/compare-test-conditions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session 2: Evaluate comparison conditions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