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Paper session 3: Support a design choice with trials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36–44 minutes. Planning estimate; adjust to the class.</w:t>
      </w:r>
    </w:p>
    <w:p>
      <w:r>
        <w:t>Read temperature changes and identify comparable conditions. Use the bridge if entering directly.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Prerequisite bridge, model and guided practice</w:t>
        </w:r>
      </w:hyperlink>
    </w:p>
    <w:p>
      <w:hyperlink r:id="rId10">
        <w:r>
          <w:rPr>
            <w:u w:val="single"/>
          </w:rPr>
          <w:t>2. Independent check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Use the model to compare complete sleeve designs across all supplied matched trials. Show a bounded claim and a useful limit. Guide Check every trial without naming the independent task’s design choice.</w:t>
      </w:r>
    </w:p>
    <w:p>
      <w:pPr>
        <w:pStyle w:val="Heading1"/>
      </w:pPr>
      <w:r>
        <w:t>Learner work and evidence</w:t>
      </w:r>
    </w:p>
    <w:p>
      <w:r>
        <w:t>Give Choose from new results after guided practice. Collect trial-by-trial comparisons and an appropriately limited choice, including a mixed or uncertain result when warranted.</w:t>
      </w:r>
    </w:p>
    <w:p>
      <w:pPr>
        <w:pStyle w:val="Heading1"/>
      </w:pPr>
      <w:r>
        <w:t>Next decision and continuation</w:t>
      </w:r>
    </w:p>
    <w:p>
      <w:r>
        <w:t>Use Compare the measurements for reading errors. Use all results and limit the claim addresses cherry-picking or always claims; give its fresh recheck only after teaching. Retain Later assessment.</w:t>
      </w:r>
    </w:p>
    <w:p>
      <w:pPr>
        <w:pStyle w:val="Heading1"/>
      </w:pPr>
      <w:r>
        <w:t>Matching complete teacher key</w:t>
      </w:r>
    </w:p>
    <w:p>
      <w:r>
        <w:t>Teacher guide pages 1–5; follow-up keys on pages 6–7 and later key on page 8.</w:t>
      </w:r>
    </w:p>
    <w:p>
      <w:hyperlink r:id="rId11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which-design-is-better-supported/which-design-is-better-supported-model-and-guided-practice.pdf" TargetMode="External"/><Relationship Id="rId10" Type="http://schemas.openxmlformats.org/officeDocument/2006/relationships/hyperlink" Target="https://mentorteaching.com/downloads/classroom-edition-2026-10-15/which-design-is-better-supported/which-design-is-better-supported-independent-check.pdf" TargetMode="External"/><Relationship Id="rId11" Type="http://schemas.openxmlformats.org/officeDocument/2006/relationships/hyperlink" Target="https://mentorteaching.com/downloads/classroom-edition-2026-10-01/thermal-energy/support-a-design-choice/support-a-design-choice-teacher-guid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session 3: Support a design choice with trials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