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Paper session 2: Evaluate comparison conditions</w:t>
      </w:r>
    </w:p>
    <w:p>
      <w:r>
        <w:t>Mentor Teaching · Teacher directions · 15 October 2026</w:t>
      </w:r>
    </w:p>
    <w:p>
      <w:pPr>
        <w:pStyle w:val="Heading1"/>
      </w:pPr>
      <w:r>
        <w:t>Plan and prerequisites</w:t>
      </w:r>
    </w:p>
    <w:p>
      <w:r>
        <w:t>35–45 minutes. Planning estimate; adjust to the class.</w:t>
      </w:r>
    </w:p>
    <w:p>
      <w:r>
        <w:t>Evidence of accurate start/final/change reading from session 1, or the included prerequisite bridge.</w:t>
      </w:r>
    </w:p>
    <w:p>
      <w:pPr>
        <w:pStyle w:val="Heading1"/>
      </w:pPr>
      <w:r>
        <w:t>Print in this order</w:t>
      </w:r>
    </w:p>
    <w:p>
      <w:hyperlink r:id="rId9">
        <w:r>
          <w:rPr>
            <w:u w:val="single"/>
          </w:rPr>
          <w:t>1. Prerequisite bridge, model and guided practice</w:t>
        </w:r>
      </w:hyperlink>
    </w:p>
    <w:p>
      <w:hyperlink r:id="rId10">
        <w:r>
          <w:rPr>
            <w:u w:val="single"/>
          </w:rPr>
          <w:t>2. Independent check</w:t>
        </w:r>
      </w:hyperlink>
    </w:p>
    <w:p>
      <w:r>
        <w:t>Give each independent or new-evidence file only at the stage described below. Keep answers with the teacher.</w:t>
      </w:r>
    </w:p>
    <w:p>
      <w:pPr>
        <w:pStyle w:val="Heading1"/>
      </w:pPr>
      <w:r>
        <w:t>Teach and demonstrate</w:t>
      </w:r>
    </w:p>
    <w:p>
      <w:r>
        <w:t>Model how to name the question before checking conditions. Compare water amount, start temperature, duration, cups/covers, room, position and reading method. Explain why subtracting starts does not remove an unequal-mass confound. Guide the setup-card repair.</w:t>
      </w:r>
    </w:p>
    <w:p>
      <w:pPr>
        <w:pStyle w:val="Heading1"/>
      </w:pPr>
      <w:r>
        <w:t>Learner work and evidence</w:t>
      </w:r>
    </w:p>
    <w:p>
      <w:r>
        <w:t>Give Fresh critique after guided work. Collect the named confound, a matched plan, what to record and a limit on what the comparison would show.</w:t>
      </w:r>
    </w:p>
    <w:p>
      <w:pPr>
        <w:pStyle w:val="Heading1"/>
      </w:pPr>
      <w:r>
        <w:t>Next decision and continuation</w:t>
      </w:r>
    </w:p>
    <w:p>
      <w:r>
        <w:t>Choose Repair the comparison for a confound, or Specify a usable plan for a missing procedure. Do not treat a repaired paper plan as a completed physical experiment.</w:t>
      </w:r>
    </w:p>
    <w:p>
      <w:pPr>
        <w:pStyle w:val="Heading1"/>
      </w:pPr>
      <w:r>
        <w:t>Matching complete teacher key</w:t>
      </w:r>
    </w:p>
    <w:p>
      <w:r>
        <w:t>Teacher guide pages 1–4; named follow-ups on pages 5–6 and later key on page 7.</w:t>
      </w:r>
    </w:p>
    <w:p>
      <w:hyperlink r:id="rId11">
        <w:r>
          <w:rPr>
            <w:u w:val="single"/>
          </w:rPr>
          <w:t>Open the matching complete teacher guide</w:t>
        </w:r>
      </w:hyperlink>
    </w:p>
    <w:p>
      <w:pPr>
        <w:pStyle w:val="Heading1"/>
      </w:pPr>
      <w:r>
        <w:t>Access and interpretation</w:t>
      </w:r>
    </w:p>
    <w:p>
      <w:r>
        <w:t>Offer oral, dictated, pointing or labelled responses when they show the same intended reasoning. Keep each task’s quantities, conditions and sources available. Allow extra response paper. A supplied-data explanation does not establish actual construction or testing.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rial" w:hAnsi="Arial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ntorteaching.com/downloads/classroom-edition-2026-10-15/was-it-a-fair-comparison/was-it-a-fair-comparison-model-and-guided-practice.pdf" TargetMode="External"/><Relationship Id="rId10" Type="http://schemas.openxmlformats.org/officeDocument/2006/relationships/hyperlink" Target="https://mentorteaching.com/downloads/classroom-edition-2026-10-15/was-it-a-fair-comparison/was-it-a-fair-comparison-independent-check.pdf" TargetMode="External"/><Relationship Id="rId11" Type="http://schemas.openxmlformats.org/officeDocument/2006/relationships/hyperlink" Target="https://mentorteaching.com/downloads/classroom-edition-2026-10-01/thermal-energy/compare-test-conditions/compare-test-conditions-teacher-guid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session 2: Evaluate comparison conditions</dc:title>
  <dc:subject/>
  <dc:creator>Mentor Teaching</dc:creator>
  <cp:keywords/>
  <dc:description/>
  <cp:lastModifiedBy>Mentor Teaching</cp:lastModifiedBy>
  <cp:revision>1</cp:revision>
  <dcterms:created xsi:type="dcterms:W3CDTF">2026-10-15T12:53:44Z</dcterms:created>
  <dcterms:modified xsi:type="dcterms:W3CDTF">2026-10-15T12:53:44Z</dcterms:modified>
  <cp:category/>
</cp:coreProperties>
</file>