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Keep the evidence, change the claim</w:t>
      </w:r>
    </w:p>
    <w:p>
      <w:pPr>
        <w:pStyle w:val="Setup"/>
      </w:pPr>
      <w:r>
        <w:t xml:space="preserve">Six additional fresh 90 g trials;9°C start;21°C surroundings;16 min;same versions/cups/lids/exposure/procedure as the initial record. No exclusions recorded.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comparable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A-3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A-4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A-5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A-6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A-7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A-8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 1: “Use only A-1/A-2; J is always better.” Fictional response 2: “A-8 is newest, so K must win.”</w:t>
      </w:r>
    </w:p>
    <w:p>
      <w:pPr>
        <w:pStyle w:val="Question"/>
      </w:pPr>
      <w:r>
        <w:t xml:space="preserve">1. Evaluate both responses. Keep all eight results and revise your earlier claim. Explain why weight and relevance, not just recency, matter.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Reteach: new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