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Guided practice · Additional evidence</w:t>
      </w:r>
    </w:p>
    <w:p>
      <w:pPr>
        <w:pStyle w:val="Setup"/>
      </w:pPr>
      <w:r>
        <w:t xml:space="preserve">Additional fresh 100 g;11°C start;23°C surroundings;18 min. Sleeve versions, cups/lids/exposure/procedure match the initial guided-practice record.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Additional matched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C final (°C)</w:t>
            </w:r>
          </w:p>
        </w:tc>
        <w:tc>
          <w:tcPr>
            <w:shd w:fill="E5EAF0"/>
          </w:tcPr>
          <w:p>
            <w:pPr/>
            <w:r>
              <w:t>Sleeve D final (°C)</w:t>
            </w:r>
          </w:p>
        </w:tc>
      </w:tr>
      <w:tr>
        <w:tc>
          <w:tcPr/>
          <w:p>
            <w:pPr/>
            <w:r>
              <w:t>G-4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G-5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G-6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19</w:t>
            </w:r>
          </w:p>
        </w:tc>
      </w:tr>
    </w:tbl>
    <w:p>
      <w:pPr>
        <w:pStyle w:val="Question"/>
      </w:pPr>
      <w:r>
        <w:t xml:space="preserve">1. Compare all six trials. Does a new record require reversing your claim? Retain, narrow, change or remain uncertain; justify the decision.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Give a revised or retained claim and a useful next comparison. What can these values still not establish?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Guided practice: new evidence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