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Later check · A changed direction</w:t>
      </w:r>
    </w:p>
    <w:p>
      <w:pPr>
        <w:pStyle w:val="Setup"/>
      </w:pPr>
      <w:r>
        <w:t xml:space="preserve">Fresh equal 100 g samples in a 22°C room; matching cups/lids, method and 15-minute exposure. This is one paper cooling comparison.</w:t>
      </w:r>
    </w:p>
    <w:p>
      <w:pPr>
        <w:pStyle w:val="Caption"/>
      </w:pPr>
      <w:r>
        <w:t>New warm-water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M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28</w:t>
            </w:r>
          </w:p>
        </w:tc>
      </w:tr>
      <w:tr>
        <w:tc>
          <w:tcPr/>
          <w:p>
            <w:pPr/>
            <w:r>
              <w:t>N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30</w:t>
            </w:r>
          </w:p>
        </w:tc>
      </w:tr>
    </w:tbl>
    <w:p>
      <w:pPr>
        <w:pStyle w:val="Question"/>
      </w:pPr>
      <w:r>
        <w:t xml:space="preserve">1. Read the labels and calculate both changes with direction.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Which setup better limits cooling here? Give a matched comparison and one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A fictional response says, “A sample at 20°C has twice the total energy of one at 10°C.” Does a Celsius reading support this?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4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Later assessment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