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drawingml/2006/wordprocessingDrawing" xmlns:ns2="http://schemas.openxmlformats.org/drawingml/2006/main" xmlns:ns3="http://schemas.openxmlformats.org/drawingml/2006/picture" xmlns:ns4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Fresh recheck · Trace a new case</w:t>
      </w:r>
    </w:p>
    <w:p>
      <w:pPr>
        <w:pStyle w:val="Setup"/>
      </w:pPr>
      <w:r>
        <w:t xml:space="preserve">Fresh 100 g covered sample with a sleeve in 21°C surroundings.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New sample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Sleeved W</w:t>
            </w:r>
          </w:p>
        </w:tc>
        <w:tc>
          <w:tcPr/>
          <w:p>
            <w:pPr/>
            <w:r>
              <w:t>33</w:t>
            </w:r>
          </w:p>
        </w:tc>
        <w:tc>
          <w:tcPr/>
          <w:p>
            <w:pPr/>
            <w:r>
              <w:t>29</w:t>
            </w:r>
          </w:p>
        </w:tc>
      </w:tr>
    </w:tbl>
    <w:p>
      <w:pPr>
        <w:pStyle w:val="Question"/>
      </w:pPr>
      <w:r>
        <w:t xml:space="preserve">1. Explain this temperature change and the direction of net energy transfer. Does the sleeve generate cold or stop all transfer? Use the record and set a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4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Fresh recheck of transfer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