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p>
      <w:pPr>
        <w:widowControl/>
      </w:pPr>
      <w:r>
        <w:rPr>
          <w:sz w:val="18"/>
        </w:rPr>
        <w:t>MENTOR TEACHING · THERMAL ENERGY | Classroom copy · 6 October 2026</w:t>
      </w:r>
    </w:p>
    <w:p>
      <w:bookmarkStart w:id="250" w:name="page-17"/>
      <w:pPr>
        <w:pStyle w:val="Heading1"/>
        <w:keepNext/>
        <w:widowControl/>
      </w:pPr>
      <w:r>
        <w:t>reassess the redesign</w:t>
      </w:r>
      <w:bookmarkEnd w:id="250"/>
    </w:p>
    <w:p>
      <w:pPr>
        <w:widowControl/>
      </w:pPr>
      <w:r>
        <w:t>Use your R1–R3 records or supplied redesign/retest record. Keep the wet/changed/missing records visible. Compare redesigned sleeve with concurrent original sleeve, using the rises for each pair.</w:t>
      </w:r>
    </w:p>
    <w:p>
      <w:pPr>
        <w:widowControl/>
      </w:pPr>
      <w:r>
        <w:t>1. List each reference rise, redesign rise, difference and flag. Does the evidence support improvement? What should happen to an awkward result?</w:t>
      </w: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widowControl/>
      </w:pPr>
      <w:r>
        <w:t>2. Check the redesign’s resource constraints. Write a revised claim and one exact next comparison.</w:t>
      </w: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pageBreakBefore/>
      </w:pPr>
    </w:p>
    <w:p>
      <w:r/>
    </w:p>
    <w:p>
      <w:pPr>
        <w:widowControl/>
      </w:pPr>
      <w:r>
        <w:rPr>
          <w:sz w:val="18"/>
        </w:rPr>
        <w:t>MENTOR TEACHING · THERMAL ENERGY | Classroom copy · 6 October 2026</w:t>
      </w:r>
    </w:p>
    <w:p>
      <w:bookmarkStart w:id="267" w:name="page-18"/>
      <w:pPr>
        <w:pStyle w:val="Heading1"/>
        <w:keepNext/>
        <w:widowControl/>
      </w:pPr>
      <w:r>
        <w:t>evidence and explanation</w:t>
      </w:r>
      <w:bookmarkEnd w:id="267"/>
    </w:p>
    <w:p>
      <w:pPr>
        <w:widowControl/>
      </w:pPr>
      <w:r>
        <w:t>1. Explain why a sleeve could slow warming without making the water colder or stopping all energy transfer. What can the temperature readings tell you?</w:t>
      </w: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widowControl/>
      </w:pPr>
      <w:r>
        <w:t>2. Give two limits of your claim. Distinguish trial variation, display resolution and instrument accuracy.</w:t>
      </w: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widowControl/>
      </w:pPr>
      <w:r>
        <w:t>3. Optional graph or table: represent one paired trial’s 0/5/10-minute readings. Label units and run ID; mark any anomaly. Explain one pattern using the representation.</w:t>
      </w: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p>
      <w:pPr>
        <w:keepNext w:val="0"/>
        <w:spacing w:after="0" w:line="400" w:lineRule="exact"/>
        <w:pBdr>
          <w:bottom w:val="single" w:sz="4" w:color="666666"/>
          <w:between w:val="single" w:sz="4" w:color="666666"/>
        </w:pBdr>
      </w:pPr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Mentor Teaching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ans" w:hAnsi="Liberation Sans"/>
      <w:sz w:val="22"/>
      <w:lang w:val="en-U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results: reassess and explain</dc:title>
  <dc:subject>Stage-specific classroom selection</dc:subject>
  <dc:creator>Mentor Teaching</dc:creator>
  <cp:keywords/>
  <dc:description/>
  <cp:lastModifiedBy>Mentor Teaching</cp:lastModifiedBy>
  <cp:revision>1</cp:revision>
  <dcterms:created xsi:type="dcterms:W3CDTF">2026-10-06T00:00:00Z</dcterms:created>
  <dcterms:modified xsi:type="dcterms:W3CDTF">2026-10-06T00:00:00Z</dcterms:modified>
  <cp:category/>
</cp:coreProperties>
</file>