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Whole design or one feature?</w:t>
      </w:r>
    </w:p>
    <w:p>
      <w:pPr>
        <w:pStyle w:val="Setup"/>
      </w:pPr>
      <w:r>
        <w:t>Fresh matched 100 g samples starting at 11°C; 23°C room; 15 min. New design changes both seam overlap and layer count; all other conditions match.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Paired trial</w:t>
            </w:r>
          </w:p>
        </w:tc>
        <w:tc>
          <w:tcPr>
            <w:shd w:fill="E5EAF0"/>
          </w:tcPr>
          <w:p>
            <w:pPr/>
            <w:r>
              <w:t>Old final °C</w:t>
            </w:r>
          </w:p>
        </w:tc>
        <w:tc>
          <w:tcPr>
            <w:shd w:fill="E5EAF0"/>
          </w:tcPr>
          <w:p>
            <w:pPr/>
            <w:r>
              <w:t>New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 xml:space="preserve">1. What does the full matched record support? Does it show that seam overlap alone caused the difference? Propose evidence that would address that narrower question.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A fair comparison of complete designs can change more than one feature. An isolated feature claim needs a comparison that separates that feature from the others.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Fresh test recheck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