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Independent challenge · Separate redesign evidence</w:t>
      </w:r>
    </w:p>
    <w:p>
      <w:pPr>
        <w:pStyle w:val="Normal"/>
      </w:pPr>
      <w:r>
        <w:t xml:space="preserve">Read this page after you finish your first proposal. These are specified fictional prototypes, not results for your own unbuilt proposal: J-sealed closes a gap in J with one extra token; K-thin uses a thinner wrap with the same token allowance. Changes are already included in the table. Do not invent a successful result for your proposal.</w:t>
      </w:r>
    </w:p>
    <w:p>
      <w:pPr>
        <w:pStyle w:val="Setup"/>
      </w:pPr>
      <w:r>
        <w:t>80 g, start 11°C, room 23°C, 16 min. Final ≤16.5°C in EVERY trial; ≤5 tokens; ≤19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J-sealed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K-thin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1. Reassess these prototypes against the original brief. Compare each with its original record on the first page; what must be revised? Is either a demonstrated universal improvement?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Retain your original proposal as a hypothesis, or revise it. Explain the evidence needed before claiming its success. Name one conclusion the supplied records cannot establish.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Independent challenge: new redesign evidence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