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Independent challenge · Record a proposal first</w:t>
      </w:r>
    </w:p>
    <w:p>
      <w:pPr>
        <w:pStyle w:val="Normal"/>
      </w:pPr>
      <w:r>
        <w:t>Finish and retain your proposal before reading the separate redesign evidence.</w:t>
      </w:r>
    </w:p>
    <w:p>
      <w:pPr>
        <w:pStyle w:val="Setup"/>
      </w:pPr>
      <w:r>
        <w:t>80 g, start 11°C, room 23°C, 16 min. Final ≤16.5°C in EVERY trial; ≤5 tokens; ≤19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J</w:t>
            </w:r>
          </w:p>
        </w:tc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16.5</w:t>
            </w:r>
          </w:p>
        </w:tc>
      </w:tr>
      <w:tr>
        <w:tc>
          <w:tcPr/>
          <w:p>
            <w:pPr/>
            <w:r>
              <w:t>K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19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L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N</w:t>
            </w:r>
          </w:p>
        </w:tc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Question"/>
      </w:pPr>
      <w:r>
        <w:t xml:space="preserve">1. Check every requirement. Which designs are feasible? Select one and justify your priority with relevant comparisons across trials.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Propose a specific modification to your chosen design. State a testable prediction and describe a matched repeated comparison against the unchanged design. Include starting conditions, duration, what to record, and what would count against the prediction.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Independent challenge: proposal first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