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t>Thermal Energy · Intended for middle school; Grades 6–8 standards band</w:t>
      </w:r>
    </w:p>
    <w:p>
      <w:pPr>
        <w:pStyle w:val="Title"/>
        <w:keepNext/>
        <w:widowControl/>
      </w:pPr>
      <w:r>
        <w:t>Cool-Water Design Investigation — Student tasks</w:t>
      </w:r>
    </w:p>
    <w:p>
      <w:pPr>
        <w:widowControl/>
      </w:pPr>
      <w:r>
        <w:t xml:space="preserve">Free instructional files. </w:t>
      </w:r>
      <w:hyperlink r:id="rId9">
        <w:r>
          <w:rPr>
            <w:color w:val="173F35"/>
            <w:u w:val="single"/>
          </w:rPr>
          <w:t>Resource downloads and print choices</w:t>
        </w:r>
      </w:hyperlink>
      <w:r>
        <w:t xml:space="preserve"> .</w:t>
      </w:r>
    </w:p>
    <w:p>
      <w:pPr>
        <w:widowControl/>
      </w:pPr>
      <w:r>
        <w:rPr>
          <w:sz w:val="18"/>
        </w:rPr>
        <w:t>MENTOR TEACHING · THERMAL ENERGY | Classroom copy · 6 October 2026</w:t>
      </w:r>
    </w:p>
    <w:p>
      <w:bookmarkStart w:id="5" w:name="page-1"/>
      <w:pPr>
        <w:pStyle w:val="Heading1"/>
        <w:keepNext/>
        <w:widowControl/>
      </w:pPr>
      <w:r>
        <w:t>Start here: choose a route</w:t>
      </w:r>
      <w:bookmarkEnd w:id="5"/>
    </w:p>
    <w:p>
      <w:pPr>
        <w:widowControl/>
      </w:pPr>
      <w:r>
        <w:t>Target: use matched fresh trials to compare thermal protectors, change a design, and revise a claim. Intended for Grade 6; relevant standards are in the Grades 6–8 band.</w:t>
      </w:r>
    </w:p>
    <w:p>
      <w:pPr>
        <w:pStyle w:val="Heading1"/>
        <w:keepNext/>
        <w:widowControl/>
      </w:pPr>
      <w:r>
        <w:t>Practical route</w:t>
      </w:r>
    </w:p>
    <w:p>
      <w:pPr>
        <w:widowControl/>
      </w:pPr>
      <w:r>
        <w:t>Work under teacher supervision. Read the design brief through instruments and trial order. Record your phase’s instrument checks at instrument-check record. Run three first comparisons using the first-comparison trial 1–3 record forms. Compare results at compare the first trials. Read commit to a redesign and run three retests using the retest trial 1–3 record forms; finish the Reassess the Redesign and Evidence and Explanation tasks.</w:t>
      </w:r>
    </w:p>
    <w:p>
      <w:pPr>
        <w:pStyle w:val="Heading1"/>
        <w:keepNext/>
        <w:widowControl/>
      </w:pPr>
      <w:r>
        <w:t>Supplied-data route</w:t>
      </w:r>
    </w:p>
    <w:p>
      <w:pPr>
        <w:widowControl/>
      </w:pPr>
      <w:r>
        <w:t>No equipment is needed. These are fictional constructed records, not measurements from this class. Read the brief and procedure; use only the supplied first-comparison record and compare the first trials. Write and retain your proposed redesign before opening the supplied redesign/retest record. Then use that record to reassess the redesign, complete evidence and explanation, and use a different later check when your teacher gives it to you.</w:t>
      </w:r>
    </w:p>
    <w:p>
      <w:pPr>
        <w:pStyle w:val="Heading1"/>
        <w:keepNext/>
        <w:widowControl/>
      </w:pPr>
      <w:r>
        <w:t>Ways to respond</w:t>
      </w:r>
    </w:p>
    <w:p>
      <w:pPr>
        <w:widowControl/>
      </w:pPr>
      <w:r>
        <w:t>Write, dictate, explain orally to a recorder, or use a labeled sketch/table. Give the same quantities, comparison conditions and evidence in any format. Graph drawing is optional.</w:t>
      </w:r>
    </w:p>
    <w:p>
      <w:pPr>
        <w:widowControl/>
      </w:pPr>
      <w:r>
        <w:t>Water is not for drinking. Keep cups in spill trays. Do not heat, cut, puncture or modify equipment. Tell the teacher about spills, leaks, damaged equipment or an unstable cup.</w:t>
      </w:r>
    </w:p>
    <w:p>
      <w:r>
        <w:br w:type="page"/>
      </w:r>
    </w:p>
    <w:p>
      <w:pPr>
        <w:widowControl/>
      </w:pPr>
      <w:r>
        <w:rPr>
          <w:sz w:val="18"/>
        </w:rPr>
        <w:t>MENTOR TEACHING · THERMAL ENERGY | Classroom copy · 6 October 2026</w:t>
      </w:r>
    </w:p>
    <w:p>
      <w:bookmarkStart w:id="16" w:name="page-2"/>
      <w:pPr>
        <w:pStyle w:val="Heading1"/>
        <w:keepNext/>
        <w:widowControl/>
      </w:pPr>
      <w:r>
        <w:t>the design brief</w:t>
      </w:r>
      <w:bookmarkEnd w:id="16"/>
    </w:p>
    <w:p>
      <w:pPr>
        <w:widowContro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widowControl/>
      </w:pPr>
      <w:r>
        <w:t>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widowControl/>
      </w:pPr>
      <w:r>
        <w:t>Performance aim: look for less warming than the identified reference in comparable trials. A small or inconsistent difference can leave the result inconclusive. There is no numeric thermal pass mark.</w:t>
      </w:r>
    </w:p>
    <w:p>
      <w:pPr>
        <w:widowControl/>
      </w:pPr>
      <w:r>
        <w:t>1. Name the performance aim and three resource/size constraints. What result would leave the thermal claim inconclusive?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Predict how original sleeve might compare with bare cup. Explain why water might still warm in either cup.</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32" w:name="page-3"/>
      <w:pPr>
        <w:pStyle w:val="Heading1"/>
        <w:keepNext/>
        <w:widowControl/>
      </w:pPr>
      <w:r>
        <w:t>assemble and label</w:t>
      </w:r>
      <w:bookmarkEnd w:id="32"/>
    </w:p>
    <w:p>
      <w:pPr>
        <w:widowControl/>
      </w:pPr>
      <w:r>
        <w:t>Use the three matching cups and loose covers checked and supplied by your teacher: one bare reference, one original sleeve and one redesign. The teacher checks that supported probes fit through the existing slots without cutting. Covers stay loose, not sealed or pressurized. Ask the teacher if the sleeve does not wrap with overlap or the sensing region cannot stay fully immersed at the marked depth.</w:t>
      </w:r>
    </w:p>
    <w:p>
      <w:pPr>
        <w:pStyle w:val="ListNumber"/>
        <w:widowControl/>
      </w:pPr>
      <w:r>
        <w:t>Put bare cup and original sleeve in separate marked positions in one dry spill tray, about 15 cm apart, away from sunlight, vents and electrical equipment. Keep them there during a run.</w:t>
      </w:r>
    </w:p>
    <w:p>
      <w:pPr>
        <w:pStyle w:val="ListNumber"/>
        <w:widowControl/>
      </w:pPr>
      <w:r>
        <w:t>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ListNumber"/>
        <w:widowControl/>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widowControl/>
      </w:pPr>
      <w:r>
        <w:t>Text equivalent of the setup: left and right cup on one level tray; equal water depth; identical covers and centered probes; bare cup; original sleeve around side wall only. Probe displays remain dry and readable.</w:t>
      </w:r>
    </w:p>
    <w:p>
      <w:r>
        <w:br w:type="page"/>
      </w:r>
    </w:p>
    <w:p>
      <w:pPr>
        <w:pStyle w:val="Heading1"/>
        <w:keepNext/>
        <w:widowControl/>
      </w:pPr>
      <w:r>
        <w:t>Check the apparatus before starting</w:t>
      </w:r>
    </w:p>
    <w:p>
      <w:r>
        <w:drawing>
          <wp:inline xmlns:a="http://schemas.openxmlformats.org/drawingml/2006/main" xmlns:pic="http://schemas.openxmlformats.org/drawingml/2006/picture">
            <wp:extent cx="6217920" cy="2746248"/>
            <wp:docPr id="1" name="Picture 1" descr="Bare reference and side-wall sleeve cups on one tray: equal water, matching loose covers, centered supported probes with tips above the inner bases."/>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217920" cy="2746248"/>
                    </a:xfrm>
                    <a:prstGeom prst="rect"/>
                  </pic:spPr>
                </pic:pic>
              </a:graphicData>
            </a:graphic>
          </wp:inline>
        </w:drawing>
      </w:r>
    </w:p>
    <w:p>
      <w:pPr>
        <w:widowControl/>
      </w:pPr>
      <w:r>
        <w:t>Diagram is schematic, not to scale. Keep the bases, top covers, probe slots and displays uncovered. Ask the teacher to check fit and insertion depth.</w:t>
      </w:r>
    </w:p>
    <w:p>
      <w:pPr>
        <w:widowControl/>
      </w:pPr>
      <w:r>
        <w:t>Draw your pair below, or describe it using a response method your teacher offers. Label water, sleeve, cover, probe and exposed base; explain one condition that must match.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50" w:name="page-4"/>
      <w:pPr>
        <w:pStyle w:val="Heading1"/>
        <w:keepNext/>
        <w:widowControl/>
      </w:pPr>
      <w:r>
        <w:t>run a matched pair</w:t>
      </w:r>
      <w:bookmarkEnd w:id="50"/>
    </w:p>
    <w:p>
      <w:pPr>
        <w:widowControl/>
      </w:pPr>
      <w:r>
        <w:t>Use two suitable non-glass liquid probes with 0.1 °C displays, checked by the teacher for water immersion, temperature range and response instructions. Display steps do not establish accuracy. A separate classroom instrument records room air at cup height.</w:t>
      </w:r>
    </w:p>
    <w:p>
      <w:pPr>
        <w:widowControl/>
      </w:pPr>
      <w:r>
        <w:t>Standard conditions: room air 20–24 °C; common gently mixed cool-water batch 12–14 °C. Measure 150 mL into each cup using the same marked measure, within 2 mL. No ice goes into cups. Record the actual conditions.</w:t>
      </w:r>
    </w:p>
    <w:p>
      <w:pPr>
        <w:widowControl/>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widowControl/>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widowControl/>
      </w:pPr>
      <w:r>
        <w:t>Record room air at 0 and 10 minutes, missing readings, spills, movement and wet sleeves. A room shift over 1 °C, a missing 0/10 reading or a changed procedure flags an inconclusive comparison; retain it and repeat with fresh water if time permits.</w:t>
      </w:r>
    </w:p>
    <w:p>
      <w:pPr>
        <w:widowContro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r>
        <w:br w:type="page"/>
      </w:r>
    </w:p>
    <w:p>
      <w:pPr>
        <w:widowControl/>
      </w:pPr>
      <w:r>
        <w:rPr>
          <w:sz w:val="18"/>
        </w:rPr>
        <w:t>MENTOR TEACHING · THERMAL ENERGY | Classroom copy · 6 October 2026</w:t>
      </w:r>
    </w:p>
    <w:p>
      <w:bookmarkStart w:id="59" w:name="page-5"/>
      <w:pPr>
        <w:pStyle w:val="Heading1"/>
        <w:keepNext/>
        <w:widowControl/>
      </w:pPr>
      <w:r>
        <w:t>instruments and trial order</w:t>
      </w:r>
      <w:bookmarkEnd w:id="59"/>
    </w:p>
    <w:p>
      <w:pPr>
        <w:widowContro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widowControl/>
      </w:pPr>
      <w:r>
        <w:t>This is a consistency/response check, not calibration or proof of accuracy. Do not silently correct readings by subtracting an assumed offset. Repeat the check after the phase; a new disagreement flags possible drift.</w:t>
      </w:r>
    </w:p>
    <w:p>
      <w:pPr>
        <w:widowControl/>
      </w:pPr>
      <w:r>
        <w:t>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widowControl/>
      </w:pPr>
      <w:r>
        <w:t>1. A reads 13.0 °C and B reads 13.7 °C in the same mixed water after settling. Should the pair start? What does a 0.1 °C display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swap positions/probes between fresh trials? Why are 0, 5 and 10 minutes not three independent trials?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73" w:name="page-6"/>
      <w:pPr>
        <w:pStyle w:val="Heading1"/>
        <w:keepNext/>
        <w:widowControl/>
      </w:pPr>
      <w:r>
        <w:t>instrument-check record</w:t>
      </w:r>
      <w:bookmarkEnd w:id="73"/>
    </w:p>
    <w:p>
      <w:pPr>
        <w:widowControl/>
      </w:pPr>
      <w:r>
        <w:t>BLANK empirical form. Use one copy for each group/phase, or attach a clearly identified teacher-recorded check for your exact probes. Follow the instrument-check directions on the Instruments and Trial Order page. Keep before and after values. This checks consistency and response, not calibration.</w:t>
      </w:r>
    </w:p>
    <w:p>
      <w:pPr>
        <w:widowControl/>
      </w:pPr>
      <w:r>
        <w:t>1.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form; °C readings, wait in seconds; second read 30 s after first.</w:t>
      </w:r>
    </w:p>
    <w:p>
      <w:pPr>
        <w:widowControl/>
      </w:pPr>
      <w:r>
        <w:t>Blank empirical instrument-check record;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Check water</w:t>
            </w:r>
          </w:p>
        </w:tc>
        <w:tc>
          <w:tcPr>
            <w:tcW w:type="dxa" w:w="1704"/>
          </w:tcPr>
          <w:p>
            <w:pPr>
              <w:spacing w:after="60"/>
            </w:pPr>
            <w:r>
              <w:rPr>
                <w:b/>
                <w:sz w:val="20"/>
              </w:rPr>
              <w:t>A read1 °C</w:t>
            </w:r>
          </w:p>
        </w:tc>
        <w:tc>
          <w:tcPr>
            <w:tcW w:type="dxa" w:w="1704"/>
          </w:tcPr>
          <w:p>
            <w:pPr>
              <w:spacing w:after="60"/>
            </w:pPr>
            <w:r>
              <w:rPr>
                <w:b/>
                <w:sz w:val="20"/>
              </w:rPr>
              <w:t>B read1 °C</w:t>
            </w:r>
          </w:p>
        </w:tc>
        <w:tc>
          <w:tcPr>
            <w:tcW w:type="dxa" w:w="1704"/>
          </w:tcPr>
          <w:p>
            <w:pPr>
              <w:spacing w:after="60"/>
            </w:pPr>
            <w:r>
              <w:rPr>
                <w:b/>
                <w:sz w:val="20"/>
              </w:rPr>
              <w:t>A read2 °C</w:t>
            </w:r>
          </w:p>
        </w:tc>
        <w:tc>
          <w:tcPr>
            <w:tcW w:type="dxa" w:w="1704"/>
          </w:tcPr>
          <w:p>
            <w:pPr>
              <w:spacing w:after="60"/>
            </w:pPr>
            <w:r>
              <w:rPr>
                <w:b/>
                <w:sz w:val="20"/>
              </w:rPr>
              <w:t>B read2 °C</w:t>
            </w:r>
          </w:p>
        </w:tc>
        <w:tc>
          <w:tcPr>
            <w:tcW w:type="dxa" w:w="1704"/>
          </w:tcPr>
          <w:p>
            <w:pPr>
              <w:spacing w:after="60"/>
            </w:pPr>
            <w:r>
              <w:rPr>
                <w:b/>
                <w:sz w:val="20"/>
              </w:rPr>
              <w:t>Wait s</w:t>
            </w:r>
          </w:p>
        </w:tc>
      </w:tr>
      <w:tr>
        <w:trPr>
          <w:cantSplit/>
        </w:trPr>
        <w:tc>
          <w:tcPr>
            <w:tcW w:type="dxa" w:w="1704"/>
          </w:tcPr>
          <w:p>
            <w:pPr>
              <w:spacing w:after="60"/>
            </w:pPr>
            <w:r>
              <w:rPr>
                <w:b w:val="0"/>
                <w:sz w:val="20"/>
              </w:rPr>
              <w:t>Before: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Before: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Record actual check timestamps, conditions, replacement instrument IDs and action here or on an attached named note. Link every run to its check ID. If instruments are replaced mid-phase, use a new check record and fresh samples.</w:t>
      </w:r>
    </w:p>
    <w:p>
      <w:r>
        <w:br w:type="page"/>
      </w:r>
    </w:p>
    <w:p>
      <w:pPr>
        <w:widowControl/>
      </w:pPr>
      <w:r>
        <w:rPr>
          <w:sz w:val="18"/>
        </w:rPr>
        <w:t>MENTOR TEACHING · THERMAL ENERGY | Classroom copy · 6 October 2026</w:t>
      </w:r>
    </w:p>
    <w:p>
      <w:bookmarkStart w:id="86" w:name="page-7"/>
      <w:pPr>
        <w:pStyle w:val="Heading1"/>
        <w:keepNext/>
        <w:widowControl/>
      </w:pPr>
      <w:r>
        <w:t>First comparison · trial 1</w:t>
      </w:r>
      <w:bookmarkEnd w:id="86"/>
    </w:p>
    <w:p>
      <w:pPr>
        <w:widowControl/>
      </w:pPr>
      <w:r>
        <w:t>Blank empirical record. Run F1;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03" w:name="page-8"/>
      <w:pPr>
        <w:pStyle w:val="Heading1"/>
        <w:keepNext/>
        <w:widowControl/>
      </w:pPr>
      <w:r>
        <w:t>First comparison · trial 2</w:t>
      </w:r>
      <w:bookmarkEnd w:id="103"/>
    </w:p>
    <w:p>
      <w:pPr>
        <w:widowControl/>
      </w:pPr>
      <w:r>
        <w:t>Blank empirical record. Run F2;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20" w:name="page-9"/>
      <w:pPr>
        <w:pStyle w:val="Heading1"/>
        <w:keepNext/>
        <w:widowControl/>
      </w:pPr>
      <w:r>
        <w:t>First comparison · trial 3</w:t>
      </w:r>
      <w:bookmarkEnd w:id="120"/>
    </w:p>
    <w:p>
      <w:pPr>
        <w:widowControl/>
      </w:pPr>
      <w:r>
        <w:t>Blank empirical record. Run F3;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37" w:name="page-10"/>
      <w:pPr>
        <w:pStyle w:val="Heading1"/>
        <w:keepNext/>
        <w:widowControl/>
      </w:pPr>
      <w:r>
        <w:t>supplied first-comparison record</w:t>
      </w:r>
      <w:bookmarkEnd w:id="137"/>
    </w:p>
    <w:p>
      <w:pPr>
        <w:widowControl/>
      </w:pPr>
      <w:r>
        <w:t>CONSTRUCTED FICTIONAL RECORDS. Constructed for analysis; no physical run or computational simulation produced these values.</w:t>
      </w:r>
    </w:p>
    <w:p>
      <w:pPr>
        <w:widowControl/>
      </w:pPr>
      <w:r>
        <w:t>Shared conditions: identical described cups/covers, 150 mL each, dry one-sheet original sleeve, probes as scheduled, minimum response 60 s. Fictional consistency checks: room A/B22.0/22.1 then 22.0/22.1 °C; cool 13.0/13.1 then 13.0/13.1 °C before and after phase. No spills or movement. Starts/clock/room readings appear below; date: fictional Day 1.</w:t>
      </w:r>
    </w:p>
    <w:p>
      <w:pPr>
        <w:widowControl/>
      </w:pPr>
      <w:r>
        <w:t>F1 bare cup left/A; original sleeve right/B. F2 bare cup right/B; original sleeve left/A. F3 bare cup left/A; original sleeve right/B. Each run used fresh water after the stated room-water reset.</w:t>
      </w:r>
    </w:p>
    <w:p>
      <w:pPr>
        <w:widowControl/>
      </w:pPr>
      <w:r>
        <w:t>constructed F1; reference bare cup, prototype original sleeve; no anomalies.</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09:00</w:t>
            </w:r>
          </w:p>
        </w:tc>
        <w:tc>
          <w:tcPr>
            <w:tcW w:type="dxa" w:w="2045"/>
          </w:tcPr>
          <w:p>
            <w:pPr>
              <w:spacing w:after="60"/>
            </w:pPr>
            <w:r>
              <w:rPr>
                <w:b w:val="0"/>
                <w:sz w:val="20"/>
              </w:rPr>
              <w:t>13.0</w:t>
            </w:r>
          </w:p>
        </w:tc>
        <w:tc>
          <w:tcPr>
            <w:tcW w:type="dxa" w:w="2045"/>
          </w:tcPr>
          <w:p>
            <w:pPr>
              <w:spacing w:after="60"/>
            </w:pPr>
            <w:r>
              <w:rPr>
                <w:b w:val="0"/>
                <w:sz w:val="20"/>
              </w:rPr>
              <w:t>13.1</w:t>
            </w:r>
          </w:p>
        </w:tc>
        <w:tc>
          <w:tcPr>
            <w:tcW w:type="dxa" w:w="2045"/>
          </w:tcPr>
          <w:p>
            <w:pPr>
              <w:spacing w:after="60"/>
            </w:pPr>
            <w:r>
              <w:rPr>
                <w:b w:val="0"/>
                <w:sz w:val="20"/>
              </w:rPr>
              <w:t>22.0</w:t>
            </w:r>
          </w:p>
        </w:tc>
      </w:tr>
      <w:tr>
        <w:trPr>
          <w:cantSplit/>
        </w:trPr>
        <w:tc>
          <w:tcPr>
            <w:tcW w:type="dxa" w:w="2045"/>
          </w:tcPr>
          <w:p>
            <w:pPr>
              <w:spacing w:after="60"/>
            </w:pPr>
            <w:r>
              <w:rPr>
                <w:b w:val="0"/>
                <w:sz w:val="20"/>
              </w:rPr>
              <w:t>5</w:t>
            </w:r>
          </w:p>
        </w:tc>
        <w:tc>
          <w:tcPr>
            <w:tcW w:type="dxa" w:w="2045"/>
          </w:tcPr>
          <w:p>
            <w:pPr>
              <w:spacing w:after="60"/>
            </w:pPr>
            <w:r>
              <w:rPr>
                <w:b w:val="0"/>
                <w:sz w:val="20"/>
              </w:rPr>
              <w:t>09:05</w:t>
            </w:r>
          </w:p>
        </w:tc>
        <w:tc>
          <w:tcPr>
            <w:tcW w:type="dxa" w:w="2045"/>
          </w:tcPr>
          <w:p>
            <w:pPr>
              <w:spacing w:after="60"/>
            </w:pPr>
            <w:r>
              <w:rPr>
                <w:b w:val="0"/>
                <w:sz w:val="20"/>
              </w:rPr>
              <w:t>14.6</w:t>
            </w:r>
          </w:p>
        </w:tc>
        <w:tc>
          <w:tcPr>
            <w:tcW w:type="dxa" w:w="2045"/>
          </w:tcPr>
          <w:p>
            <w:pPr>
              <w:spacing w:after="60"/>
            </w:pPr>
            <w:r>
              <w:rPr>
                <w:b w:val="0"/>
                <w:sz w:val="20"/>
              </w:rPr>
              <w:t>14.3</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09:10</w:t>
            </w:r>
          </w:p>
        </w:tc>
        <w:tc>
          <w:tcPr>
            <w:tcW w:type="dxa" w:w="2045"/>
          </w:tcPr>
          <w:p>
            <w:pPr>
              <w:spacing w:after="60"/>
            </w:pPr>
            <w:r>
              <w:rPr>
                <w:b w:val="0"/>
                <w:sz w:val="20"/>
              </w:rPr>
              <w:t>16.0</w:t>
            </w:r>
          </w:p>
        </w:tc>
        <w:tc>
          <w:tcPr>
            <w:tcW w:type="dxa" w:w="2045"/>
          </w:tcPr>
          <w:p>
            <w:pPr>
              <w:spacing w:after="60"/>
            </w:pPr>
            <w:r>
              <w:rPr>
                <w:b w:val="0"/>
                <w:sz w:val="20"/>
              </w:rPr>
              <w:t>15.3</w:t>
            </w:r>
          </w:p>
        </w:tc>
        <w:tc>
          <w:tcPr>
            <w:tcW w:type="dxa" w:w="2045"/>
          </w:tcPr>
          <w:p>
            <w:pPr>
              <w:spacing w:after="60"/>
            </w:pPr>
            <w:r>
              <w:rPr>
                <w:b w:val="0"/>
                <w:sz w:val="20"/>
              </w:rPr>
              <w:t>22.2</w:t>
            </w:r>
          </w:p>
        </w:tc>
      </w:tr>
    </w:tbl>
    <w:p>
      <w:pPr>
        <w:widowControl/>
      </w:pPr>
      <w:r>
        <w:t>constructed F2; reference bare cup, prototype original sleeve; no anomalies.</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09:20</w:t>
            </w:r>
          </w:p>
        </w:tc>
        <w:tc>
          <w:tcPr>
            <w:tcW w:type="dxa" w:w="2045"/>
          </w:tcPr>
          <w:p>
            <w:pPr>
              <w:spacing w:after="60"/>
            </w:pPr>
            <w:r>
              <w:rPr>
                <w:b w:val="0"/>
                <w:sz w:val="20"/>
              </w:rPr>
              <w:t>13.2</w:t>
            </w:r>
          </w:p>
        </w:tc>
        <w:tc>
          <w:tcPr>
            <w:tcW w:type="dxa" w:w="2045"/>
          </w:tcPr>
          <w:p>
            <w:pPr>
              <w:spacing w:after="60"/>
            </w:pPr>
            <w:r>
              <w:rPr>
                <w:b w:val="0"/>
                <w:sz w:val="20"/>
              </w:rPr>
              <w:t>13.0</w:t>
            </w:r>
          </w:p>
        </w:tc>
        <w:tc>
          <w:tcPr>
            <w:tcW w:type="dxa" w:w="2045"/>
          </w:tcPr>
          <w:p>
            <w:pPr>
              <w:spacing w:after="60"/>
            </w:pPr>
            <w:r>
              <w:rPr>
                <w:b w:val="0"/>
                <w:sz w:val="20"/>
              </w:rPr>
              <w:t>22.1</w:t>
            </w:r>
          </w:p>
        </w:tc>
      </w:tr>
      <w:tr>
        <w:trPr>
          <w:cantSplit/>
        </w:trPr>
        <w:tc>
          <w:tcPr>
            <w:tcW w:type="dxa" w:w="2045"/>
          </w:tcPr>
          <w:p>
            <w:pPr>
              <w:spacing w:after="60"/>
            </w:pPr>
            <w:r>
              <w:rPr>
                <w:b w:val="0"/>
                <w:sz w:val="20"/>
              </w:rPr>
              <w:t>5</w:t>
            </w:r>
          </w:p>
        </w:tc>
        <w:tc>
          <w:tcPr>
            <w:tcW w:type="dxa" w:w="2045"/>
          </w:tcPr>
          <w:p>
            <w:pPr>
              <w:spacing w:after="60"/>
            </w:pPr>
            <w:r>
              <w:rPr>
                <w:b w:val="0"/>
                <w:sz w:val="20"/>
              </w:rPr>
              <w:t>09:25</w:t>
            </w:r>
          </w:p>
        </w:tc>
        <w:tc>
          <w:tcPr>
            <w:tcW w:type="dxa" w:w="2045"/>
          </w:tcPr>
          <w:p>
            <w:pPr>
              <w:spacing w:after="60"/>
            </w:pPr>
            <w:r>
              <w:rPr>
                <w:b w:val="0"/>
                <w:sz w:val="20"/>
              </w:rPr>
              <w:t>14.9</w:t>
            </w:r>
          </w:p>
        </w:tc>
        <w:tc>
          <w:tcPr>
            <w:tcW w:type="dxa" w:w="2045"/>
          </w:tcPr>
          <w:p>
            <w:pPr>
              <w:spacing w:after="60"/>
            </w:pPr>
            <w:r>
              <w:rPr>
                <w:b w:val="0"/>
                <w:sz w:val="20"/>
              </w:rPr>
              <w:t>14.3</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09:30</w:t>
            </w:r>
          </w:p>
        </w:tc>
        <w:tc>
          <w:tcPr>
            <w:tcW w:type="dxa" w:w="2045"/>
          </w:tcPr>
          <w:p>
            <w:pPr>
              <w:spacing w:after="60"/>
            </w:pPr>
            <w:r>
              <w:rPr>
                <w:b w:val="0"/>
                <w:sz w:val="20"/>
              </w:rPr>
              <w:t>16.4</w:t>
            </w:r>
          </w:p>
        </w:tc>
        <w:tc>
          <w:tcPr>
            <w:tcW w:type="dxa" w:w="2045"/>
          </w:tcPr>
          <w:p>
            <w:pPr>
              <w:spacing w:after="60"/>
            </w:pPr>
            <w:r>
              <w:rPr>
                <w:b w:val="0"/>
                <w:sz w:val="20"/>
              </w:rPr>
              <w:t>15.4</w:t>
            </w:r>
          </w:p>
        </w:tc>
        <w:tc>
          <w:tcPr>
            <w:tcW w:type="dxa" w:w="2045"/>
          </w:tcPr>
          <w:p>
            <w:pPr>
              <w:spacing w:after="60"/>
            </w:pPr>
            <w:r>
              <w:rPr>
                <w:b w:val="0"/>
                <w:sz w:val="20"/>
              </w:rPr>
              <w:t>22.2</w:t>
            </w:r>
          </w:p>
        </w:tc>
      </w:tr>
    </w:tbl>
    <w:p>
      <w:pPr>
        <w:widowControl/>
      </w:pPr>
      <w:r>
        <w:t>constructed F3; reference bare cup, prototype original sleeve; no anomalies.</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09:40</w:t>
            </w:r>
          </w:p>
        </w:tc>
        <w:tc>
          <w:tcPr>
            <w:tcW w:type="dxa" w:w="2045"/>
          </w:tcPr>
          <w:p>
            <w:pPr>
              <w:spacing w:after="60"/>
            </w:pPr>
            <w:r>
              <w:rPr>
                <w:b w:val="0"/>
                <w:sz w:val="20"/>
              </w:rPr>
              <w:t>12.9</w:t>
            </w:r>
          </w:p>
        </w:tc>
        <w:tc>
          <w:tcPr>
            <w:tcW w:type="dxa" w:w="2045"/>
          </w:tcPr>
          <w:p>
            <w:pPr>
              <w:spacing w:after="60"/>
            </w:pPr>
            <w:r>
              <w:rPr>
                <w:b w:val="0"/>
                <w:sz w:val="20"/>
              </w:rPr>
              <w:t>13.0</w:t>
            </w:r>
          </w:p>
        </w:tc>
        <w:tc>
          <w:tcPr>
            <w:tcW w:type="dxa" w:w="2045"/>
          </w:tcPr>
          <w:p>
            <w:pPr>
              <w:spacing w:after="60"/>
            </w:pPr>
            <w:r>
              <w:rPr>
                <w:b w:val="0"/>
                <w:sz w:val="20"/>
              </w:rPr>
              <w:t>22.2</w:t>
            </w:r>
          </w:p>
        </w:tc>
      </w:tr>
      <w:tr>
        <w:trPr>
          <w:cantSplit/>
        </w:trPr>
        <w:tc>
          <w:tcPr>
            <w:tcW w:type="dxa" w:w="2045"/>
          </w:tcPr>
          <w:p>
            <w:pPr>
              <w:spacing w:after="60"/>
            </w:pPr>
            <w:r>
              <w:rPr>
                <w:b w:val="0"/>
                <w:sz w:val="20"/>
              </w:rPr>
              <w:t>5</w:t>
            </w:r>
          </w:p>
        </w:tc>
        <w:tc>
          <w:tcPr>
            <w:tcW w:type="dxa" w:w="2045"/>
          </w:tcPr>
          <w:p>
            <w:pPr>
              <w:spacing w:after="60"/>
            </w:pPr>
            <w:r>
              <w:rPr>
                <w:b w:val="0"/>
                <w:sz w:val="20"/>
              </w:rPr>
              <w:t>09:45</w:t>
            </w:r>
          </w:p>
        </w:tc>
        <w:tc>
          <w:tcPr>
            <w:tcW w:type="dxa" w:w="2045"/>
          </w:tcPr>
          <w:p>
            <w:pPr>
              <w:spacing w:after="60"/>
            </w:pPr>
            <w:r>
              <w:rPr>
                <w:b w:val="0"/>
                <w:sz w:val="20"/>
              </w:rPr>
              <w:t>14.5</w:t>
            </w:r>
          </w:p>
        </w:tc>
        <w:tc>
          <w:tcPr>
            <w:tcW w:type="dxa" w:w="2045"/>
          </w:tcPr>
          <w:p>
            <w:pPr>
              <w:spacing w:after="60"/>
            </w:pPr>
            <w:r>
              <w:rPr>
                <w:b w:val="0"/>
                <w:sz w:val="20"/>
              </w:rPr>
              <w:t>14.2</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09:50</w:t>
            </w:r>
          </w:p>
        </w:tc>
        <w:tc>
          <w:tcPr>
            <w:tcW w:type="dxa" w:w="2045"/>
          </w:tcPr>
          <w:p>
            <w:pPr>
              <w:spacing w:after="60"/>
            </w:pPr>
            <w:r>
              <w:rPr>
                <w:b w:val="0"/>
                <w:sz w:val="20"/>
              </w:rPr>
              <w:t>16.0</w:t>
            </w:r>
          </w:p>
        </w:tc>
        <w:tc>
          <w:tcPr>
            <w:tcW w:type="dxa" w:w="2045"/>
          </w:tcPr>
          <w:p>
            <w:pPr>
              <w:spacing w:after="60"/>
            </w:pPr>
            <w:r>
              <w:rPr>
                <w:b w:val="0"/>
                <w:sz w:val="20"/>
              </w:rPr>
              <w:t>15.3</w:t>
            </w:r>
          </w:p>
        </w:tc>
        <w:tc>
          <w:tcPr>
            <w:tcW w:type="dxa" w:w="2045"/>
          </w:tcPr>
          <w:p>
            <w:pPr>
              <w:spacing w:after="60"/>
            </w:pPr>
            <w:r>
              <w:rPr>
                <w:b w:val="0"/>
                <w:sz w:val="20"/>
              </w:rPr>
              <w:t>22.2</w:t>
            </w:r>
          </w:p>
        </w:tc>
      </w:tr>
    </w:tbl>
    <w:p>
      <w:r>
        <w:br w:type="page"/>
      </w:r>
    </w:p>
    <w:p>
      <w:pPr>
        <w:widowControl/>
      </w:pPr>
      <w:r>
        <w:rPr>
          <w:sz w:val="18"/>
        </w:rPr>
        <w:t>MENTOR TEACHING · THERMAL ENERGY | Classroom copy · 6 October 2026</w:t>
      </w:r>
    </w:p>
    <w:p>
      <w:bookmarkStart w:id="149" w:name="page-11"/>
      <w:pPr>
        <w:pStyle w:val="Heading1"/>
        <w:keepNext/>
        <w:widowControl/>
      </w:pPr>
      <w:r>
        <w:t>compare the first trials</w:t>
      </w:r>
      <w:bookmarkEnd w:id="149"/>
    </w:p>
    <w:p>
      <w:pPr>
        <w:widowControl/>
      </w:pPr>
      <w:r>
        <w:t>Use your F1–F3 records, or the constructed first-comparison records in the supplied first-comparison record. Temperature rise = 10-minute reading minus 0-minute reading. For each usable pair, compare the two rises; a smaller rise means less warming during that interval.</w:t>
      </w:r>
    </w:p>
    <w:p>
      <w:pPr>
        <w:widowControl/>
      </w:pPr>
      <w:r>
        <w:t>1. Make a table listing each run ID, reference rise, original sleeve rise and the difference (reference rise minus original sleeve rise). Include flags; do not combine flawed and usable trials silently.</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Make a bounded claim using all three pairs. Identify one limit. You may use a table instead of a graph.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3. Would this comparison show that felt alone caused the difference? State what is compared and one further test.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cool-water-design-investigation/" TargetMode="External"/><Relationship Id="rId10" Type="http://schemas.openxmlformats.org/officeDocument/2006/relationships/image" Target="media/image1.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Cool-Water Design Investigation — student first comparison</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