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Here: Check, Reteach &amp; Recheck</w:t>
      </w:r>
    </w:p>
    <w:p>
      <w:r>
        <w:t>Classroom copy · 1 October 2026</w:t>
      </w:r>
    </w:p>
    <w:p>
      <w:pPr>
        <w:pStyle w:val="Heading1"/>
      </w:pPr>
      <w:r>
        <w:t>Start Here · Grade 6 Reading: Check, Reteach &amp; Recheck</w:t>
      </w:r>
    </w:p>
    <w:p>
      <w:r>
        <w:t>Use a pack for a reading skill you have already taught. A short response can suggest a next lesson, but it does not diagnose a learner or establish broad mastery.</w:t>
      </w:r>
    </w:p>
    <w:p>
      <w:pPr>
        <w:pStyle w:val="Heading1"/>
      </w:pPr>
      <w:r>
        <w:t>A six-step classroom path</w:t>
      </w:r>
    </w:p>
    <w:p>
      <w:r>
        <w:t>1. Choose the narrow skill. Check the pack's target and prerequisites.</w:t>
      </w:r>
    </w:p>
    <w:p>
      <w:r>
        <w:t>2. Give Check A independently under the learner's usual appropriate conditions. Record any change to reading or response mode.</w:t>
      </w:r>
    </w:p>
    <w:p>
      <w:r>
        <w:t>3. Describe what is visible. Separate the response from your tentative interpretation. A blank or unclear response calls for clarification first.</w:t>
      </w:r>
    </w:p>
    <w:p>
      <w:r>
        <w:t>4. Teach one focused next step using the supplied model and practice text. The two routes address different visible gaps.</w:t>
      </w:r>
    </w:p>
    <w:p>
      <w:r>
        <w:t>5. Give unseen Recheck B. Compare the reasoning and conditions, not a percentage or a permanent label.</w:t>
      </w:r>
    </w:p>
    <w:p>
      <w:r>
        <w:t>6. After another learning opportunity, give Later Check C. Use it to choose the next lesson; the forms are not validated equivalents.</w:t>
      </w:r>
    </w:p>
    <w:p>
      <w:pPr>
        <w:pStyle w:val="Heading1"/>
      </w:pPr>
      <w:r>
        <w:t>What to print for the evidence pilot</w:t>
      </w:r>
    </w:p>
    <w:p>
      <w:r>
        <w:t>Check A: student page 1 (or its separate file). Teacher Model and Guided Practice: student pages 2–3. Recheck B: page 4 (or separate file). Later Check C: page 5 (or separate file). Keep the teacher guide separate from learner copies.</w:t>
      </w:r>
    </w:p>
    <w:p>
      <w:pPr>
        <w:pStyle w:val="Heading1"/>
      </w:pPr>
      <w:r>
        <w:t>Interpretation boundaries</w:t>
      </w:r>
    </w:p>
    <w:p>
      <w:r>
        <w:t>A true but unrelated detail, a relevant detail without an explanation, and an unsupported broad claim invite different next moves. Do not infer a specific misconception from a missing response. Changed response modes change what can be inferred about independent reading or writing.</w:t>
      </w:r>
    </w:p>
    <w:p>
      <w:r>
        <w:t>Re-form any temporary group when the evidence changes. Keep local planning records private; do not submit student names or work to the website.</w:t>
      </w:r>
    </w:p>
    <w:p>
      <w:r>
        <w:t>Shared guide · planning estimates, not validated timing.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Here: Check, Reteach &amp; Recheck</dc:title>
  <dc:subject>Classroom teaching resource</dc:subject>
  <dc:creator>Mentor Teaching</dc:creator>
  <cp:keywords/>
  <dc:description/>
  <cp:lastModifiedBy/>
  <cp:revision>1</cp:revision>
  <dcterms:created xsi:type="dcterms:W3CDTF">2026-09-28T22:57:05Z</dcterms:created>
  <dcterms:modified xsi:type="dcterms:W3CDTF">2026-09-28T22:57:05Z</dcterms:modified>
  <cp:category/>
  <cp:version/>
  <dc:identifier/>
</cp:coreProperties>
</file>