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Evidence Writing</w:t>
      </w:r>
    </w:p>
    <w:p>
      <w:r>
        <w:t>Classroom copy · 1 October 2026</w:t>
      </w:r>
    </w:p>
    <w:p>
      <w:r>
        <w:t>Teach, Respond and Revise · this pack · Grade 6 ELA</w:t>
      </w:r>
    </w:p>
    <w:p>
      <w:r>
        <w:t>One complete composition cycle connecting Write an Evidence-Based Paragraph evidence paragraphs and Revise a Paragraph for Clarity and Coherence clarity/coherence revision to this pack check and response tasks.</w:t>
      </w:r>
    </w:p>
    <w:p>
      <w:pPr>
        <w:pStyle w:val="Heading1"/>
      </w:pPr>
      <w:r>
        <w:t>1. Teach the two different moves</w:t>
      </w:r>
    </w:p>
    <w:p>
      <w:r>
        <w:t>Use Write an Evidence-Based Paragraph for a focused claim, accurate relevant evidence, explanation and readable ending. Use Revise a Paragraph for Clarity and Coherence for clear references, connected order, preservation of every stated fact/result and a meaningful revision explanation.</w:t>
      </w:r>
    </w:p>
    <w:p>
      <w:pPr>
        <w:pStyle w:val="Heading1"/>
      </w:pPr>
      <w:r>
        <w:t>2. Give the selected check</w:t>
      </w:r>
    </w:p>
    <w:p>
      <w:r>
        <w:t>Use Initial Check, DOCX or HTML after teaching. It contains a writing source and a different revision draft, task conditions and response room. Do not show the teacher key beforehand.</w:t>
      </w:r>
    </w:p>
    <w:p>
      <w:pPr>
        <w:pStyle w:val="Heading1"/>
      </w:pPr>
      <w:r>
        <w:t>3. Choose a concrete response task</w:t>
      </w:r>
    </w:p>
    <w:p>
      <w:r>
        <w:t>Use route-continue, route-clarify, route-reteach or route-extend from tentative criterion evidence and response conditions. The four routes share exposed practice texts and give different work. They are not student categories or mastery levels.</w:t>
      </w:r>
    </w:p>
    <w:p>
      <w:pPr>
        <w:pStyle w:val="Heading1"/>
      </w:pPr>
      <w:r>
        <w:t>4. Reserve new evidence</w:t>
      </w:r>
    </w:p>
    <w:p>
      <w:r>
        <w:t>Save the follow-up check and later-practice stories until students are ready to try them on their own. Note what they have already seen and any support they receive before interpreting a response.</w:t>
      </w:r>
    </w:p>
    <w:p>
      <w:pPr>
        <w:pStyle w:val="Heading1"/>
      </w:pPr>
      <w:r>
        <w:t>Prepare files</w:t>
      </w:r>
    </w:p>
    <w:p>
      <w:r>
        <w:t>Open Start Here, then the teacher guide for answer guidance and printing instructions. The pack includes the introductory writing and revision lessons and all the practice tasks in print, editable and browser formats. Give students only the task you have selected.</w:t>
      </w:r>
    </w:p>
    <w:p>
      <w:r>
        <w:t>Mentor Teaching</w:t>
      </w:r>
    </w:p>
    <w:p>
      <w:r>
        <w:br w:type="page"/>
      </w:r>
    </w:p>
    <w:p>
      <w:pPr>
        <w:pStyle w:val="Title"/>
      </w:pPr>
      <w:r>
        <w:t>Start here: choose files and record conditions</w:t>
      </w:r>
    </w:p>
    <w:p>
      <w:r>
        <w:t>Classroom copy · 1 October 2026</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Need</w:t>
            </w:r>
          </w:p>
        </w:tc>
        <w:tc>
          <w:tcPr>
            <w:tcW w:type="dxa" w:w="3456"/>
          </w:tcPr>
          <w:p>
            <w:r>
              <w:t>Choose this file stem</w:t>
            </w:r>
          </w:p>
        </w:tc>
        <w:tc>
          <w:tcPr>
            <w:tcW w:type="dxa" w:w="3456"/>
          </w:tcPr>
          <w:p>
            <w:r>
              <w:t>PDF pages</w:t>
            </w:r>
          </w:p>
        </w:tc>
      </w:tr>
      <w:tr>
        <w:tc>
          <w:tcPr>
            <w:tcW w:type="dxa" w:w="3456"/>
          </w:tcPr>
          <w:p>
            <w:r>
              <w:t>Initial check</w:t>
            </w:r>
          </w:p>
        </w:tc>
        <w:tc>
          <w:tcPr>
            <w:tcW w:type="dxa" w:w="3456"/>
          </w:tcPr>
          <w:p>
            <w:r>
              <w:t>Initial Check</w:t>
            </w:r>
          </w:p>
        </w:tc>
        <w:tc>
          <w:tcPr>
            <w:tcW w:type="dxa" w:w="3456"/>
          </w:tcPr>
          <w:p>
            <w:r>
              <w:t>1–4</w:t>
            </w:r>
          </w:p>
        </w:tc>
      </w:tr>
      <w:tr>
        <w:tc>
          <w:tcPr>
            <w:tcW w:type="dxa" w:w="3456"/>
          </w:tcPr>
          <w:p>
            <w:r>
              <w:t>Supported current response</w:t>
            </w:r>
          </w:p>
        </w:tc>
        <w:tc>
          <w:tcPr>
            <w:tcW w:type="dxa" w:w="3456"/>
          </w:tcPr>
          <w:p>
            <w:r>
              <w:t>Continue Practice</w:t>
            </w:r>
          </w:p>
        </w:tc>
        <w:tc>
          <w:tcPr>
            <w:tcW w:type="dxa" w:w="3456"/>
          </w:tcPr>
          <w:p>
            <w:r>
              <w:t>1–4</w:t>
            </w:r>
          </w:p>
        </w:tc>
      </w:tr>
      <w:tr>
        <w:tc>
          <w:tcPr>
            <w:tcW w:type="dxa" w:w="3456"/>
          </w:tcPr>
          <w:p>
            <w:r>
              <w:t>Uncertain response/access</w:t>
            </w:r>
          </w:p>
        </w:tc>
        <w:tc>
          <w:tcPr>
            <w:tcW w:type="dxa" w:w="3456"/>
          </w:tcPr>
          <w:p>
            <w:r>
              <w:t>Clarify the Reasoning</w:t>
            </w:r>
          </w:p>
        </w:tc>
        <w:tc>
          <w:tcPr>
            <w:tcW w:type="dxa" w:w="3456"/>
          </w:tcPr>
          <w:p>
            <w:r>
              <w:t>1–4</w:t>
            </w:r>
          </w:p>
        </w:tc>
      </w:tr>
      <w:tr>
        <w:tc>
          <w:tcPr>
            <w:tcW w:type="dxa" w:w="3456"/>
          </w:tcPr>
          <w:p>
            <w:r>
              <w:t>Model and rebuild a move</w:t>
            </w:r>
          </w:p>
        </w:tc>
        <w:tc>
          <w:tcPr>
            <w:tcW w:type="dxa" w:w="3456"/>
          </w:tcPr>
          <w:p>
            <w:r>
              <w:t>Model and Practice</w:t>
            </w:r>
          </w:p>
        </w:tc>
        <w:tc>
          <w:tcPr>
            <w:tcW w:type="dxa" w:w="3456"/>
          </w:tcPr>
          <w:p>
            <w:r>
              <w:t>1–5</w:t>
            </w:r>
          </w:p>
        </w:tc>
      </w:tr>
      <w:tr>
        <w:tc>
          <w:tcPr>
            <w:tcW w:type="dxa" w:w="3456"/>
          </w:tcPr>
          <w:p>
            <w:r>
              <w:t>Compare choices and limits</w:t>
            </w:r>
          </w:p>
        </w:tc>
        <w:tc>
          <w:tcPr>
            <w:tcW w:type="dxa" w:w="3456"/>
          </w:tcPr>
          <w:p>
            <w:r>
              <w:t>Extend the Reasoning</w:t>
            </w:r>
          </w:p>
        </w:tc>
        <w:tc>
          <w:tcPr>
            <w:tcW w:type="dxa" w:w="3456"/>
          </w:tcPr>
          <w:p>
            <w:r>
              <w:t>1–6</w:t>
            </w:r>
          </w:p>
        </w:tc>
      </w:tr>
      <w:tr>
        <w:tc>
          <w:tcPr>
            <w:tcW w:type="dxa" w:w="3456"/>
          </w:tcPr>
          <w:p>
            <w:r>
              <w:t>Save for a later independent attempt</w:t>
            </w:r>
          </w:p>
        </w:tc>
        <w:tc>
          <w:tcPr>
            <w:tcW w:type="dxa" w:w="3456"/>
          </w:tcPr>
          <w:p>
            <w:r>
              <w:t>Follow-up Check</w:t>
            </w:r>
          </w:p>
        </w:tc>
        <w:tc>
          <w:tcPr>
            <w:tcW w:type="dxa" w:w="3456"/>
          </w:tcPr>
          <w:p>
            <w:r>
              <w:t>1–4</w:t>
            </w:r>
          </w:p>
        </w:tc>
      </w:tr>
      <w:tr>
        <w:tc>
          <w:tcPr>
            <w:tcW w:type="dxa" w:w="3456"/>
          </w:tcPr>
          <w:p>
            <w:r>
              <w:t>Save for later practice</w:t>
            </w:r>
          </w:p>
        </w:tc>
        <w:tc>
          <w:tcPr>
            <w:tcW w:type="dxa" w:w="3456"/>
          </w:tcPr>
          <w:p>
            <w:r>
              <w:t>Later Practice</w:t>
            </w:r>
          </w:p>
        </w:tc>
        <w:tc>
          <w:tcPr>
            <w:tcW w:type="dxa" w:w="3456"/>
          </w:tcPr>
          <w:p>
            <w:r>
              <w:t>1–4</w:t>
            </w:r>
          </w:p>
        </w:tc>
      </w:tr>
      <w:tr>
        <w:tc>
          <w:tcPr>
            <w:tcW w:type="dxa" w:w="3456"/>
          </w:tcPr>
          <w:p>
            <w:r>
              <w:t>Keys and local records</w:t>
            </w:r>
          </w:p>
        </w:tc>
        <w:tc>
          <w:tcPr>
            <w:tcW w:type="dxa" w:w="3456"/>
          </w:tcPr>
          <w:p>
            <w:r>
              <w:t>Teacher Guide</w:t>
            </w:r>
          </w:p>
        </w:tc>
        <w:tc>
          <w:tcPr>
            <w:tcW w:type="dxa" w:w="3456"/>
          </w:tcPr>
          <w:p>
            <w:r>
              <w:t>1–17</w:t>
            </w:r>
          </w:p>
        </w:tc>
      </w:tr>
      <w:tr>
        <w:tc>
          <w:tcPr>
            <w:tcW w:type="dxa" w:w="3456"/>
          </w:tcPr>
          <w:p>
            <w:r>
              <w:t>Teacher preparation</w:t>
            </w:r>
          </w:p>
        </w:tc>
        <w:tc>
          <w:tcPr>
            <w:tcW w:type="dxa" w:w="3456"/>
          </w:tcPr>
          <w:p>
            <w:r>
              <w:t>Start Here</w:t>
            </w:r>
          </w:p>
        </w:tc>
        <w:tc>
          <w:tcPr>
            <w:tcW w:type="dxa" w:w="3456"/>
          </w:tcPr>
          <w:p>
            <w:r>
              <w:t>1–2</w:t>
            </w:r>
          </w:p>
        </w:tc>
      </w:tr>
    </w:tbl>
    <w:p>
      <w:r>
        <w:t>Use each selected student PDF in full, including the explanation page. Print one-sided or duplex locally; do not combine later-practice selections into a student packet. Use extra labeled paper or type if more room is needed. Editable/native DOCX contains text and response paragraphs; pagination depends on local software. HTML reflows for screen reading and prints with the same content.</w:t>
      </w:r>
    </w:p>
    <w:p>
      <w:r>
        <w:t>Record the task title, what students had seen, their response method and the help given. Reading aloud, smaller text sections, text-to-speech, oral rehearsal, dictation and typing can support access when appropriate. Let students make their own choices about claims, evidence and wording. Keep work labels and records private.</w:t>
      </w:r>
    </w:p>
    <w:p>
      <w:r>
        <w:t>Scope: eight distinct Write an Evidence-Based Paragraph/Revise a Paragraph for Clarity and Coherence criteria; tentative next teaching moves. No diagnosis, ranking, mastery cutoff, equivalent-form calibration, physical print trial, assistive-technology conformance or learner-outcome evidence is claimed.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Evidence Writing</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