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arguments and fair replies</w:t>
      </w:r>
    </w:p>
    <w:p>
      <w:r>
        <w:t>C08 · v1.0.0 · teacher/teacher-guide · page 1 of 21</w:t>
      </w:r>
    </w:p>
    <w:p>
      <w:r>
        <w:t>Teacher-only · G6A01 v1.0.0 within C08 v1.0.0</w:t>
      </w:r>
    </w:p>
    <w:p>
      <w:r>
        <w:t>Teaching job: interpret a short response after accepted L09/L10 teaching, choose supplied practice for the observed need, and gather fresh follow-up evidence. This is a bounded supplement, not a full argument curriculum or diagnostic test.</w:t>
      </w:r>
    </w:p>
    <w:p>
      <w:pPr>
        <w:pStyle w:val="Heading1"/>
      </w:pPr>
      <w:r>
        <w:t>Prepare and administer</w:t>
      </w:r>
    </w:p>
    <w:p>
      <w:r>
        <w:t>Read all keys and the exposure map. Select one full student file. Reserve teacher answers, recheck and transfer. Learners use only its supplied cases, not outside research or invented supporting facts. Ask about prior access; keep local records without names or other identifiable data. No response upload is requested.</w:t>
      </w:r>
    </w:p>
    <w:p>
      <w:r>
        <w:t>Give neutral read-aloud, enlarged text, extra time, typing, dictation or oral explanation as appropriate. Keep statement labels and wording intact. Do not add an interpretation or response suggestion during a check. If reasoning help is given, note it and interpret as supported practice.</w:t>
      </w:r>
    </w:p>
    <w:p>
      <w:pPr>
        <w:pStyle w:val="Heading1"/>
      </w:pPr>
      <w:r>
        <w:t>First teaching as needed</w:t>
      </w:r>
    </w:p>
    <w:p>
      <w:r>
        <w:t>Use unchanged L09 v0.1.2 for role/relevance instruction and unchanged L10 v0.1.7 for fair representation and responses. Their exposed texts are teaching materials. New check/recheck/transfer cases here are distinct from those accepted lesson passages.</w:t>
      </w:r>
    </w:p>
    <w:p>
      <w:pPr>
        <w:pStyle w:val="Heading1"/>
      </w:pPr>
      <w:r>
        <w:t>Interpret cautiously</w:t>
      </w:r>
    </w:p>
    <w:p>
      <w:r>
        <w:t>Read the full explanation, not just labels. Ask neutral clarification such as “Which part of the supplied text do you mean?” when wording or access is uncertain. Do not infer stance, effort, diagnosis or mastery. If the independent condition failed, fix access or exposure conditions before using another unused task.</w:t>
      </w:r>
    </w:p>
    <w:p>
      <w:r>
        <w:t>© Mentor Teaching. You may read, print, copy and adapt for your own planning, classroom and school team when the source is not sold. Retain attribution and source notices. Republishing, reselling or broader redistribution requires written permission. Current terms: mentorteaching.com/terms-of-use/.</w:t>
      </w:r>
    </w:p>
    <w:p>
      <w:r>
        <w:rPr>
          <w:sz w:val="18"/>
        </w:rPr>
        <w:t>Mentor Teaching · AI-authored · C08 v1.0.0</w:t>
      </w:r>
    </w:p>
    <w:p>
      <w:r>
        <w:br w:type="page"/>
      </w:r>
    </w:p>
    <w:p>
      <w:pPr>
        <w:pStyle w:val="Title"/>
      </w:pPr>
      <w:r>
        <w:t>Separate criterion decisions: L09</w:t>
      </w:r>
    </w:p>
    <w:p>
      <w:r>
        <w:t>C08 · v1.0.0 · teacher/teacher-guide · page 2 of 21</w:t>
      </w:r>
    </w:p>
    <w:p>
      <w:r>
        <w:t>The following four accepted L09 criteria are retained verbatim. Record each separately as demonstrated, partial, not yet evident, or unable to interpret, with the actual words and conditions. These descriptive decisions are local teaching notes, not validated score thresholds.</w:t>
      </w:r>
    </w:p>
    <w:p>
      <w:r>
        <w:t>L09-C01 — Identifies the claim and reason by their function in the argument. A statement may fill a different role in another argument; judge its stated role here.</w:t>
      </w:r>
    </w:p>
    <w:p>
      <w:r>
        <w:t>L09-C02 — Distinguishes specific evidence from a reason or unrelated detail. Accept clear descriptions without requiring one exact label phrase.</w:t>
      </w:r>
    </w:p>
    <w:p>
      <w:r>
        <w:t>L09-C03 — Explains whether evidence supports the reason and how the reason supports the claim. Relevant evidence may have limits; do not treat limited scope alone as irrelevance.</w:t>
      </w:r>
    </w:p>
    <w:p>
      <w:r>
        <w:t>L09-C04 — Bases classification on argumentative function and relevance, not agreement with the position. Do not score whether learners support or oppose the claim.</w:t>
      </w:r>
    </w:p>
    <w:p>
      <w:pPr>
        <w:pStyle w:val="Heading1"/>
      </w:pPr>
      <w:r>
        <w:t>Apply them to these tasks</w:t>
      </w:r>
    </w:p>
    <w:p>
      <w:r>
        <w:t>C01: look for correct claim and reason functions, with clear paraphrases accepted. C02: distinguish specific relevant support from the explanation and unrelated detail. C03: require the evidence-to-reason and reason-to-claim links; note scope/limits in the explanation. C04: look for classification based on function even when the learner questions or disagrees with the proposal.</w:t>
      </w:r>
    </w:p>
    <w:p>
      <w:r>
        <w:t>A swapped reason/evidence label with a good explanation may show a vocabulary confusion; record both instead of treating the whole response as failure. Limited invented counts can be relevant without proving a universal effect. A same-topic fact is unrelated when no reasoning link is supplied. Do not require criticism of every possible limitation.</w:t>
      </w:r>
    </w:p>
    <w:p>
      <w:r>
        <w:rPr>
          <w:sz w:val="18"/>
        </w:rPr>
        <w:t>Mentor Teaching · AI-authored · C08 v1.0.0</w:t>
      </w:r>
    </w:p>
    <w:p>
      <w:r>
        <w:br w:type="page"/>
      </w:r>
    </w:p>
    <w:p>
      <w:pPr>
        <w:pStyle w:val="Title"/>
      </w:pPr>
      <w:r>
        <w:t>Separate criterion decisions: L10</w:t>
      </w:r>
    </w:p>
    <w:p>
      <w:r>
        <w:t>C08 · v1.0.0 · teacher/teacher-guide · page 3 of 21</w:t>
      </w:r>
    </w:p>
    <w:p>
      <w:r>
        <w:t>The following four accepted L10 criteria are retained verbatim; scenario-specific examples in the accepted lesson refer to Sam. Apply their functions to each new speaker here.</w:t>
      </w:r>
    </w:p>
    <w:p>
      <w:r>
        <w:t>L10-C01 — Represents a relevant main concern and the stated alternative accurately and fairly, without exaggerating the view or assigning an unstated motive. For the independent response, one accurately stated main concern plus Sam’s stated alternative is sufficient for 2 points. Do not lower that score solely because other concerns are omitted. Apply the learner rubric’s 0–2 descriptors; varied wording is acceptable.</w:t>
      </w:r>
    </w:p>
    <w:p>
      <w:r>
        <w:t>L10-C02 — Explains why the selected concern matters and clearly connects the response to that concern. Use the learner rubric: award 2 when both the importance explanation and response link are clear, 1 when only one is clear, and 0 when neither is clear. A reasoned agreement or qualification is scored by those same two elements.</w:t>
      </w:r>
    </w:p>
    <w:p>
      <w:r>
        <w:t>L10-C03 — Gives a connected reason, practical change, agreement, or qualification and names a relevant remaining limit. Do not require a trial or a particular conclusion. The response and limit should connect to concerns in the scenario.</w:t>
      </w:r>
    </w:p>
    <w:p>
      <w:r>
        <w:t>L10-C04 — Communicates reasoning clearly enough to evaluate fairly, regardless of the learner’s position. Do not score whether the learner supports or opposes the proposal, or require a particular personal conclusion.</w:t>
      </w:r>
    </w:p>
    <w:p>
      <w:r>
        <w:t>Apply the accepted 0–2 descriptors per criterion, without summing them or setting a mastery threshold: C01 2 = one accurate main concern plus stated alternative; 1 = concern with omitted/partly misstated alternative or partial concern misstatement; 0 = no relevant concern or substantial distortion. Other concerns may be omitted for 2.</w:t>
      </w:r>
    </w:p>
    <w:p>
      <w:r>
        <w:t>C02 2 = concern importance and explicit response link; 1 = just one clear; 0 = neither clear. C03 2 = related response plus relevant remaining limit; 1 = one only; 0 = neither. C04 2 = easy-to-follow reasoning; 1 = main idea partly clear; 0 = not yet clear. Record access uncertainty separately. Supporting the alternative, original option or a qualified mix can receive the same decisions.</w:t>
      </w:r>
    </w:p>
    <w:p>
      <w:r>
        <w:rPr>
          <w:sz w:val="18"/>
        </w:rPr>
        <w:t>Mentor Teaching · AI-authored · C08 v1.0.0</w:t>
      </w:r>
    </w:p>
    <w:p>
      <w:r>
        <w:br w:type="page"/>
      </w:r>
    </w:p>
    <w:p>
      <w:pPr>
        <w:pStyle w:val="Title"/>
      </w:pPr>
      <w:r>
        <w:t>Choose a concrete response route</w:t>
      </w:r>
    </w:p>
    <w:p>
      <w:r>
        <w:t>C08 · v1.0.0 · teacher/teacher-guide · page 4 of 21</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Observed response under stated conditions</w:t>
            </w:r>
          </w:p>
        </w:tc>
        <w:tc>
          <w:tcPr>
            <w:tcW w:type="dxa" w:w="3456"/>
          </w:tcPr>
          <w:p>
            <w:r>
              <w:t>Supplied task and teaching move</w:t>
            </w:r>
          </w:p>
        </w:tc>
        <w:tc>
          <w:tcPr>
            <w:tcW w:type="dxa" w:w="3456"/>
          </w:tcPr>
          <w:p>
            <w:r>
              <w:t>What to examine next</w:t>
            </w:r>
          </w:p>
        </w:tc>
      </w:tr>
      <w:tr>
        <w:tc>
          <w:tcPr>
            <w:tcW w:type="dxa" w:w="3456"/>
          </w:tcPr>
          <w:p>
            <w:r>
              <w:t>Roles and links emerging; reply fairly names concern/alternative</w:t>
            </w:r>
          </w:p>
        </w:tc>
        <w:tc>
          <w:tcPr>
            <w:tcW w:type="dxa" w:w="3456"/>
          </w:tcPr>
          <w:p>
            <w:r>
              <w:t>Continue: puzzle chain, gallery reply and needed-information question</w:t>
            </w:r>
          </w:p>
        </w:tc>
        <w:tc>
          <w:tcPr>
            <w:tcW w:type="dxa" w:w="3456"/>
          </w:tcPr>
          <w:p>
            <w:r>
              <w:t>Whether both links and a concern-linked limit become explicit</w:t>
            </w:r>
          </w:p>
        </w:tc>
      </w:tr>
      <w:tr>
        <w:tc>
          <w:tcPr>
            <w:tcW w:type="dxa" w:w="3456"/>
          </w:tcPr>
          <w:p>
            <w:r>
              <w:t>Reason confused with evidence; same-topic detail treated as support; speaker’s view exaggerated</w:t>
            </w:r>
          </w:p>
        </w:tc>
        <w:tc>
          <w:tcPr>
            <w:tcW w:type="dxa" w:w="3456"/>
          </w:tcPr>
          <w:p>
            <w:r>
              <w:t>Clarify: compare A/D and C in puzzle argument; repair the supplied unfair gallery paraphrase</w:t>
            </w:r>
          </w:p>
        </w:tc>
        <w:tc>
          <w:tcPr>
            <w:tcW w:type="dxa" w:w="3456"/>
          </w:tcPr>
          <w:p>
            <w:r>
              <w:t>Whether explanation distinguishes jobs and repairs the actual representation</w:t>
            </w:r>
          </w:p>
        </w:tc>
      </w:tr>
      <w:tr>
        <w:tc>
          <w:tcPr>
            <w:tcW w:type="dxa" w:w="3456"/>
          </w:tcPr>
          <w:p>
            <w:r>
              <w:t>Unable to establish roles or a connected reply despite neutral access clarification</w:t>
            </w:r>
          </w:p>
        </w:tc>
        <w:tc>
          <w:tcPr>
            <w:tcW w:type="dxa" w:w="3456"/>
          </w:tcPr>
          <w:p>
            <w:r>
              <w:t>Reteach: separate folder-tab/poem models; chunk puzzle roles and four-part gallery reply</w:t>
            </w:r>
          </w:p>
        </w:tc>
        <w:tc>
          <w:tcPr>
            <w:tcW w:type="dxa" w:w="3456"/>
          </w:tcPr>
          <w:p>
            <w:r>
              <w:t>Which reasoning can be completed with named support before fresh recheck</w:t>
            </w:r>
          </w:p>
        </w:tc>
      </w:tr>
      <w:tr>
        <w:tc>
          <w:tcPr>
            <w:tcW w:type="dxa" w:w="3456"/>
          </w:tcPr>
          <w:p>
            <w:r>
              <w:t>Core reasoning clear and learner ready for different demand</w:t>
            </w:r>
          </w:p>
        </w:tc>
        <w:tc>
          <w:tcPr>
            <w:tcW w:type="dxa" w:w="3456"/>
          </w:tcPr>
          <w:p>
            <w:r>
              <w:t>Extend: reclassify meeting fact in a new argument; write two defensible gallery replies</w:t>
            </w:r>
          </w:p>
        </w:tc>
        <w:tc>
          <w:tcPr>
            <w:tcW w:type="dxa" w:w="3456"/>
          </w:tcPr>
          <w:p>
            <w:r>
              <w:t>Contextual role change, distinct connected plans and honest remaining limits</w:t>
            </w:r>
          </w:p>
        </w:tc>
      </w:tr>
    </w:tbl>
    <w:p>
      <w:r>
        <w:t>These are examples for teacher choice, not automatic assignments. Choose different routes for the two targets if needed: use that route’s two role pages or two reply pages and record the split using the exact print map. Do not send everyone through every route. All routes share an intentionally exposed practice pair; repetition is not independent evidence.</w:t>
      </w:r>
    </w:p>
    <w:p>
      <w:pPr>
        <w:pStyle w:val="Heading1"/>
      </w:pPr>
      <w:r>
        <w:t>After the route</w:t>
      </w:r>
    </w:p>
    <w:p>
      <w:r>
        <w:t>Discuss the actual practice response with the corresponding key. Then use a still-unused fresh recheck pair with recorded conditions. Later, after another opportunity to use the targets, use the still-unused transfer pair. Compare criterion-specific reasoning cautiously; the forms are uncalibrated and not equivalent tests. If one target still needs help, return to the specific route or accepted lesson for that target.</w:t>
      </w:r>
    </w:p>
    <w:p>
      <w:r>
        <w:rPr>
          <w:sz w:val="18"/>
        </w:rPr>
        <w:t>Mentor Teaching · AI-authored · C08 v1.0.0</w:t>
      </w:r>
    </w:p>
    <w:p>
      <w:r>
        <w:br w:type="page"/>
      </w:r>
    </w:p>
    <w:p>
      <w:pPr>
        <w:pStyle w:val="Title"/>
      </w:pPr>
      <w:r>
        <w:t>Exposure map and reservation</w:t>
      </w:r>
    </w:p>
    <w:p>
      <w:r>
        <w:t>C08 · v1.0.0 · teacher/teacher-guide · page 5 of 21</w:t>
      </w:r>
    </w:p>
    <w:tbl>
      <w:tblPr>
        <w:tblStyle w:val="TableGrid"/>
        <w:tblW w:type="auto" w:w="0"/>
        <w:tblLook w:firstColumn="1" w:firstRow="1" w:lastColumn="0" w:lastRow="0" w:noHBand="0" w:noVBand="1" w:val="04A0"/>
      </w:tblPr>
      <w:tblGrid>
        <w:gridCol w:w="3456"/>
        <w:gridCol w:w="3456"/>
        <w:gridCol w:w="3456"/>
      </w:tblGrid>
      <w:tr>
        <w:trPr>
          <w:tblHeader/>
        </w:trPr>
        <w:tc>
          <w:tcPr>
            <w:tcW w:type="dxa" w:w="3456"/>
          </w:tcPr>
          <w:p>
            <w:r>
              <w:t>Selection</w:t>
            </w:r>
          </w:p>
        </w:tc>
        <w:tc>
          <w:tcPr>
            <w:tcW w:type="dxa" w:w="3456"/>
          </w:tcPr>
          <w:p>
            <w:r>
              <w:t>Cases</w:t>
            </w:r>
          </w:p>
        </w:tc>
        <w:tc>
          <w:tcPr>
            <w:tcW w:type="dxa" w:w="3456"/>
          </w:tcPr>
          <w:p>
            <w:r>
              <w:t>Use/exposure</w:t>
            </w:r>
          </w:p>
        </w:tc>
      </w:tr>
      <w:tr>
        <w:tc>
          <w:tcPr>
            <w:tcW w:type="dxa" w:w="3456"/>
          </w:tcPr>
          <w:p>
            <w:r>
              <w:t>Accepted L09/L10</w:t>
            </w:r>
          </w:p>
        </w:tc>
        <w:tc>
          <w:tcPr>
            <w:tcW w:type="dxa" w:w="3456"/>
          </w:tcPr>
          <w:p>
            <w:r>
              <w:t>Original accepted lesson passages</w:t>
            </w:r>
          </w:p>
        </w:tc>
        <w:tc>
          <w:tcPr>
            <w:tcW w:type="dxa" w:w="3456"/>
          </w:tcPr>
          <w:p>
            <w:r>
              <w:t>First teaching; already exposed passages stay practice</w:t>
            </w:r>
          </w:p>
        </w:tc>
      </w:tr>
      <w:tr>
        <w:tc>
          <w:tcPr>
            <w:tcW w:type="dxa" w:w="3456"/>
          </w:tcPr>
          <w:p>
            <w:r>
              <w:t>check-only</w:t>
            </w:r>
          </w:p>
        </w:tc>
        <w:tc>
          <w:tcPr>
            <w:tcW w:type="dxa" w:w="3456"/>
          </w:tcPr>
          <w:p>
            <w:r>
              <w:t>Tool labels; project recordings</w:t>
            </w:r>
          </w:p>
        </w:tc>
        <w:tc>
          <w:tcPr>
            <w:tcW w:type="dxa" w:w="3456"/>
          </w:tcPr>
          <w:p>
            <w:r>
              <w:t>Reserve until initial post-teaching check</w:t>
            </w:r>
          </w:p>
        </w:tc>
      </w:tr>
      <w:tr>
        <w:tc>
          <w:tcPr>
            <w:tcW w:type="dxa" w:w="3456"/>
          </w:tcPr>
          <w:p>
            <w:r>
              <w:t>All four routes</w:t>
            </w:r>
          </w:p>
        </w:tc>
        <w:tc>
          <w:tcPr>
            <w:tcW w:type="dxa" w:w="3456"/>
          </w:tcPr>
          <w:p>
            <w:r>
              <w:t>Puzzle-bag cards; gallery questions</w:t>
            </w:r>
          </w:p>
        </w:tc>
        <w:tc>
          <w:tcPr>
            <w:tcW w:type="dxa" w:w="3456"/>
          </w:tcPr>
          <w:p>
            <w:r>
              <w:t>Shared exposed practice; do not claim route-to-route freshness</w:t>
            </w:r>
          </w:p>
        </w:tc>
      </w:tr>
      <w:tr>
        <w:tc>
          <w:tcPr>
            <w:tcW w:type="dxa" w:w="3456"/>
          </w:tcPr>
          <w:p>
            <w:r>
              <w:t>Reteach only</w:t>
            </w:r>
          </w:p>
        </w:tc>
        <w:tc>
          <w:tcPr>
            <w:tcW w:type="dxa" w:w="3456"/>
          </w:tcPr>
          <w:p>
            <w:r>
              <w:t>Folder tabs; poem sharing</w:t>
            </w:r>
          </w:p>
        </w:tc>
        <w:tc>
          <w:tcPr>
            <w:tcW w:type="dxa" w:w="3456"/>
          </w:tcPr>
          <w:p>
            <w:r>
              <w:t>Separate completed teaching miniatures</w:t>
            </w:r>
          </w:p>
        </w:tc>
      </w:tr>
      <w:tr>
        <w:tc>
          <w:tcPr>
            <w:tcW w:type="dxa" w:w="3456"/>
          </w:tcPr>
          <w:p>
            <w:r>
              <w:t>fresh-recheck</w:t>
            </w:r>
          </w:p>
        </w:tc>
        <w:tc>
          <w:tcPr>
            <w:tcW w:type="dxa" w:w="3456"/>
          </w:tcPr>
          <w:p>
            <w:r>
              <w:t>Sewing-kit checklists; rehearsal questions</w:t>
            </w:r>
          </w:p>
        </w:tc>
        <w:tc>
          <w:tcPr>
            <w:tcW w:type="dxa" w:w="3456"/>
          </w:tcPr>
          <w:p>
            <w:r>
              <w:t>Reserve from check feedback and route teaching</w:t>
            </w:r>
          </w:p>
        </w:tc>
      </w:tr>
      <w:tr>
        <w:tc>
          <w:tcPr>
            <w:tcW w:type="dxa" w:w="3456"/>
          </w:tcPr>
          <w:p>
            <w:r>
              <w:t>later-transfer</w:t>
            </w:r>
          </w:p>
        </w:tc>
        <w:tc>
          <w:tcPr>
            <w:tcW w:type="dxa" w:w="3456"/>
          </w:tcPr>
          <w:p>
            <w:r>
              <w:t>Archive index; exhibit explanations</w:t>
            </w:r>
          </w:p>
        </w:tc>
        <w:tc>
          <w:tcPr>
            <w:tcW w:type="dxa" w:w="3456"/>
          </w:tcPr>
          <w:p>
            <w:r>
              <w:t>Reserve until later application</w:t>
            </w:r>
          </w:p>
        </w:tc>
      </w:tr>
    </w:tbl>
    <w:p>
      <w:r>
        <w:t>Keys and examples discuss reserved cases and belong only to teachers. Do not distribute this guide, the ZIP, or another student selection containing a reserved pair before use. Direct public files can have been accessed; ask and record rather than assume secrecy. If a pair was shared, shown or discussed, it is exposed even when the learner did not complete it.</w:t>
      </w:r>
    </w:p>
    <w:p>
      <w:r>
        <w:t>If exposure or support is uncertain, label the evidence uncertain. If another still-unused pair fits, use it with its own conditions; do not erase its transfer/recheck identity. If all pairs are exposed, no fresh form remains here. Do not substitute the shared practice pair and call it independent.</w:t>
      </w:r>
    </w:p>
    <w:p>
      <w:r>
        <w:rPr>
          <w:sz w:val="18"/>
        </w:rPr>
        <w:t>Mentor Teaching · AI-authored · C08 v1.0.0</w:t>
      </w:r>
    </w:p>
    <w:p>
      <w:r>
        <w:br w:type="page"/>
      </w:r>
    </w:p>
    <w:p>
      <w:pPr>
        <w:pStyle w:val="Title"/>
      </w:pPr>
      <w:r>
        <w:t>Exact print map and local recording</w:t>
      </w:r>
    </w:p>
    <w:p>
      <w:r>
        <w:t>C08 · v1.0.0 · teacher/teacher-guide · page 6 of 21</w:t>
      </w:r>
    </w:p>
    <w:tbl>
      <w:tblPr>
        <w:tblStyle w:val="TableGrid"/>
        <w:tblW w:type="auto" w:w="0"/>
        <w:tblLook w:firstColumn="1" w:firstRow="1" w:lastColumn="0" w:lastRow="0" w:noHBand="0" w:noVBand="1" w:val="04A0"/>
      </w:tblPr>
      <w:tblGrid>
        <w:gridCol w:w="2592"/>
        <w:gridCol w:w="2592"/>
        <w:gridCol w:w="2592"/>
        <w:gridCol w:w="2592"/>
      </w:tblGrid>
      <w:tr>
        <w:trPr>
          <w:tblHeader/>
        </w:trPr>
        <w:tc>
          <w:tcPr>
            <w:tcW w:type="dxa" w:w="2592"/>
          </w:tcPr>
          <w:p>
            <w:r>
              <w:t>PDF file</w:t>
            </w:r>
          </w:p>
        </w:tc>
        <w:tc>
          <w:tcPr>
            <w:tcW w:type="dxa" w:w="2592"/>
          </w:tcPr>
          <w:p>
            <w:r>
              <w:t>All pages</w:t>
            </w:r>
          </w:p>
        </w:tc>
        <w:tc>
          <w:tcPr>
            <w:tcW w:type="dxa" w:w="2592"/>
          </w:tcPr>
          <w:p>
            <w:r>
              <w:t>Roles task</w:t>
            </w:r>
          </w:p>
        </w:tc>
        <w:tc>
          <w:tcPr>
            <w:tcW w:type="dxa" w:w="2592"/>
          </w:tcPr>
          <w:p>
            <w:r>
              <w:t>Counterargument task</w:t>
            </w:r>
          </w:p>
        </w:tc>
      </w:tr>
      <w:tr>
        <w:tc>
          <w:tcPr>
            <w:tcW w:type="dxa" w:w="2592"/>
          </w:tcPr>
          <w:p>
            <w:r>
              <w:t>student/check-only</w:t>
            </w:r>
          </w:p>
        </w:tc>
        <w:tc>
          <w:tcPr>
            <w:tcW w:type="dxa" w:w="2592"/>
          </w:tcPr>
          <w:p>
            <w:r>
              <w:t>1–4</w:t>
            </w:r>
          </w:p>
        </w:tc>
        <w:tc>
          <w:tcPr>
            <w:tcW w:type="dxa" w:w="2592"/>
          </w:tcPr>
          <w:p>
            <w:r>
              <w:t>1–2</w:t>
            </w:r>
          </w:p>
        </w:tc>
        <w:tc>
          <w:tcPr>
            <w:tcW w:type="dxa" w:w="2592"/>
          </w:tcPr>
          <w:p>
            <w:r>
              <w:t>3–4</w:t>
            </w:r>
          </w:p>
        </w:tc>
      </w:tr>
      <w:tr>
        <w:tc>
          <w:tcPr>
            <w:tcW w:type="dxa" w:w="2592"/>
          </w:tcPr>
          <w:p>
            <w:r>
              <w:t>student/route-continue</w:t>
            </w:r>
          </w:p>
        </w:tc>
        <w:tc>
          <w:tcPr>
            <w:tcW w:type="dxa" w:w="2592"/>
          </w:tcPr>
          <w:p>
            <w:r>
              <w:t>1–4</w:t>
            </w:r>
          </w:p>
        </w:tc>
        <w:tc>
          <w:tcPr>
            <w:tcW w:type="dxa" w:w="2592"/>
          </w:tcPr>
          <w:p>
            <w:r>
              <w:t>1–2</w:t>
            </w:r>
          </w:p>
        </w:tc>
        <w:tc>
          <w:tcPr>
            <w:tcW w:type="dxa" w:w="2592"/>
          </w:tcPr>
          <w:p>
            <w:r>
              <w:t>3–4</w:t>
            </w:r>
          </w:p>
        </w:tc>
      </w:tr>
      <w:tr>
        <w:tc>
          <w:tcPr>
            <w:tcW w:type="dxa" w:w="2592"/>
          </w:tcPr>
          <w:p>
            <w:r>
              <w:t>student/route-clarify</w:t>
            </w:r>
          </w:p>
        </w:tc>
        <w:tc>
          <w:tcPr>
            <w:tcW w:type="dxa" w:w="2592"/>
          </w:tcPr>
          <w:p>
            <w:r>
              <w:t>1–4</w:t>
            </w:r>
          </w:p>
        </w:tc>
        <w:tc>
          <w:tcPr>
            <w:tcW w:type="dxa" w:w="2592"/>
          </w:tcPr>
          <w:p>
            <w:r>
              <w:t>1–2</w:t>
            </w:r>
          </w:p>
        </w:tc>
        <w:tc>
          <w:tcPr>
            <w:tcW w:type="dxa" w:w="2592"/>
          </w:tcPr>
          <w:p>
            <w:r>
              <w:t>3–4</w:t>
            </w:r>
          </w:p>
        </w:tc>
      </w:tr>
      <w:tr>
        <w:tc>
          <w:tcPr>
            <w:tcW w:type="dxa" w:w="2592"/>
          </w:tcPr>
          <w:p>
            <w:r>
              <w:t>student/route-reteach</w:t>
            </w:r>
          </w:p>
        </w:tc>
        <w:tc>
          <w:tcPr>
            <w:tcW w:type="dxa" w:w="2592"/>
          </w:tcPr>
          <w:p>
            <w:r>
              <w:t>1–5</w:t>
            </w:r>
          </w:p>
        </w:tc>
        <w:tc>
          <w:tcPr>
            <w:tcW w:type="dxa" w:w="2592"/>
          </w:tcPr>
          <w:p>
            <w:r>
              <w:t>model 1; task 2–3</w:t>
            </w:r>
          </w:p>
        </w:tc>
        <w:tc>
          <w:tcPr>
            <w:tcW w:type="dxa" w:w="2592"/>
          </w:tcPr>
          <w:p>
            <w:r>
              <w:t>model 1; task 4–5</w:t>
            </w:r>
          </w:p>
        </w:tc>
      </w:tr>
      <w:tr>
        <w:tc>
          <w:tcPr>
            <w:tcW w:type="dxa" w:w="2592"/>
          </w:tcPr>
          <w:p>
            <w:r>
              <w:t>student/route-extend</w:t>
            </w:r>
          </w:p>
        </w:tc>
        <w:tc>
          <w:tcPr>
            <w:tcW w:type="dxa" w:w="2592"/>
          </w:tcPr>
          <w:p>
            <w:r>
              <w:t>1–6</w:t>
            </w:r>
          </w:p>
        </w:tc>
        <w:tc>
          <w:tcPr>
            <w:tcW w:type="dxa" w:w="2592"/>
          </w:tcPr>
          <w:p>
            <w:r>
              <w:t>1–2 plus extension 5</w:t>
            </w:r>
          </w:p>
        </w:tc>
        <w:tc>
          <w:tcPr>
            <w:tcW w:type="dxa" w:w="2592"/>
          </w:tcPr>
          <w:p>
            <w:r>
              <w:t>3–4 plus extension 6</w:t>
            </w:r>
          </w:p>
        </w:tc>
      </w:tr>
      <w:tr>
        <w:tc>
          <w:tcPr>
            <w:tcW w:type="dxa" w:w="2592"/>
          </w:tcPr>
          <w:p>
            <w:r>
              <w:t>student/fresh-recheck</w:t>
            </w:r>
          </w:p>
        </w:tc>
        <w:tc>
          <w:tcPr>
            <w:tcW w:type="dxa" w:w="2592"/>
          </w:tcPr>
          <w:p>
            <w:r>
              <w:t>1–4</w:t>
            </w:r>
          </w:p>
        </w:tc>
        <w:tc>
          <w:tcPr>
            <w:tcW w:type="dxa" w:w="2592"/>
          </w:tcPr>
          <w:p>
            <w:r>
              <w:t>1–2</w:t>
            </w:r>
          </w:p>
        </w:tc>
        <w:tc>
          <w:tcPr>
            <w:tcW w:type="dxa" w:w="2592"/>
          </w:tcPr>
          <w:p>
            <w:r>
              <w:t>3–4</w:t>
            </w:r>
          </w:p>
        </w:tc>
      </w:tr>
      <w:tr>
        <w:tc>
          <w:tcPr>
            <w:tcW w:type="dxa" w:w="2592"/>
          </w:tcPr>
          <w:p>
            <w:r>
              <w:t>student/later-transfer</w:t>
            </w:r>
          </w:p>
        </w:tc>
        <w:tc>
          <w:tcPr>
            <w:tcW w:type="dxa" w:w="2592"/>
          </w:tcPr>
          <w:p>
            <w:r>
              <w:t>1–4</w:t>
            </w:r>
          </w:p>
        </w:tc>
        <w:tc>
          <w:tcPr>
            <w:tcW w:type="dxa" w:w="2592"/>
          </w:tcPr>
          <w:p>
            <w:r>
              <w:t>1–2</w:t>
            </w:r>
          </w:p>
        </w:tc>
        <w:tc>
          <w:tcPr>
            <w:tcW w:type="dxa" w:w="2592"/>
          </w:tcPr>
          <w:p>
            <w:r>
              <w:t>3–4</w:t>
            </w:r>
          </w:p>
        </w:tc>
      </w:tr>
      <w:tr>
        <w:tc>
          <w:tcPr>
            <w:tcW w:type="dxa" w:w="2592"/>
          </w:tcPr>
          <w:p>
            <w:r>
              <w:t>shared/start-here</w:t>
            </w:r>
          </w:p>
        </w:tc>
        <w:tc>
          <w:tcPr>
            <w:tcW w:type="dxa" w:w="2592"/>
          </w:tcPr>
          <w:p>
            <w:r>
              <w:t>1–2</w:t>
            </w:r>
          </w:p>
        </w:tc>
        <w:tc>
          <w:tcPr>
            <w:tcW w:type="dxa" w:w="2592"/>
          </w:tcPr>
          <w:p>
            <w:r>
              <w:t>teacher orientation</w:t>
            </w:r>
          </w:p>
        </w:tc>
        <w:tc>
          <w:tcPr>
            <w:tcW w:type="dxa" w:w="2592"/>
          </w:tcPr>
          <w:p>
            <w:r>
              <w:t>no student task</w:t>
            </w:r>
          </w:p>
        </w:tc>
      </w:tr>
      <w:tr>
        <w:tc>
          <w:tcPr>
            <w:tcW w:type="dxa" w:w="2592"/>
          </w:tcPr>
          <w:p>
            <w:r>
              <w:t>teacher/teacher-guide</w:t>
            </w:r>
          </w:p>
        </w:tc>
        <w:tc>
          <w:tcPr>
            <w:tcW w:type="dxa" w:w="2592"/>
          </w:tcPr>
          <w:p>
            <w:r>
              <w:t>1–21</w:t>
            </w:r>
          </w:p>
        </w:tc>
        <w:tc>
          <w:tcPr>
            <w:tcW w:type="dxa" w:w="2592"/>
          </w:tcPr>
          <w:p>
            <w:r>
              <w:t>keys and guidance</w:t>
            </w:r>
          </w:p>
        </w:tc>
        <w:tc>
          <w:tcPr>
            <w:tcW w:type="dxa" w:w="2592"/>
          </w:tcPr>
          <w:p>
            <w:r>
              <w:t>teacher-only</w:t>
            </w:r>
          </w:p>
        </w:tc>
      </w:tr>
    </w:tbl>
    <w:p>
      <w:r>
        <w:t>Teacher guide key pages: check 7–8; continue 9–10; clarify 11–12; reteach 13–14; extend 15–16; fresh recheck 17–18; later transfer 19–20. Orientation, criteria, route choices and print/exposure guidance are pages 1–6; rights and verification limits are page 21.</w:t>
      </w:r>
    </w:p>
    <w:p>
      <w:r>
        <w:t>Whole selected files are the default. For a split route, print the complete target pages listed, including its source and continuation. Reteach requires miniature page 1 for either target. Extend requires the relevant extension page. Provide extra labeled paper, typing or recorded dictation if the response room is insufficient. DOCX has explicit authored page breaks; application pagination may vary.</w:t>
      </w:r>
    </w:p>
    <w:p>
      <w:pPr>
        <w:pStyle w:val="Heading1"/>
      </w:pPr>
      <w:r>
        <w:t>Non-identifying local record</w:t>
      </w:r>
    </w:p>
    <w:p>
      <w:r>
        <w:t>Use a locally chosen anonymous work label. Record date/occasion; selection, task ID and version; prior lesson/practice exposure; whether the specific cases were unused; response mode and exact supports; the actual explanation; separate L09-C01–04 observations; separate L10-C01–04 decisions; uncertainties; chosen route with reason; next unused task and conditions. Keep this locally under school procedures; the site collects no learner responses.</w:t>
      </w:r>
    </w:p>
    <w:p>
      <w:r>
        <w:t>Example of a fictional decision: a response calls the puzzle meeting count evidence merely because it mentions the club. Choose clarify for L09-C02/C03 and compare A/D/C; this says what needs discussion in this response, not what the learner always knows.</w:t>
      </w:r>
    </w:p>
    <w:p>
      <w:r>
        <w:rPr>
          <w:sz w:val="18"/>
        </w:rPr>
        <w:t>Mentor Teaching · AI-authored · C08 v1.0.0</w:t>
      </w:r>
    </w:p>
    <w:p>
      <w:r>
        <w:br w:type="page"/>
      </w:r>
    </w:p>
    <w:p>
      <w:pPr>
        <w:pStyle w:val="Title"/>
      </w:pPr>
      <w:r>
        <w:t>Check: arguments and fair replies: role key</w:t>
      </w:r>
    </w:p>
    <w:p>
      <w:r>
        <w:t>C08 · v1.0.0 · teacher/teacher-guide · page 7 of 21</w:t>
      </w:r>
    </w:p>
    <w:p>
      <w:r>
        <w:t>G6A01-CHECK-ONLY-L09</w:t>
      </w:r>
    </w:p>
    <w:p>
      <w:pPr>
        <w:pStyle w:val="Heading1"/>
      </w:pPr>
      <w:r>
        <w:t>Tool labels</w:t>
      </w:r>
    </w:p>
    <w:p>
      <w:r>
        <w:t>A. In an invented one-afternoon session, 11 of 14 club members returned a paper punch to its assigned tray after reading a tool-name label. B. The craft club should label its tool trays with tool names. C. The club’s noticeboard lists four upcoming craft meetings. D. Tool-name labels can help members find the assigned place when returning tools.</w:t>
      </w:r>
    </w:p>
    <w:p>
      <w:pPr>
        <w:pStyle w:val="Heading1"/>
      </w:pPr>
      <w:r>
        <w:t>Complete key and reasoning</w:t>
      </w:r>
    </w:p>
    <w:p>
      <w:r>
        <w:t>Claim B; reason D; relevant evidence A; unrelated detail C. The 11 of 14 return count is specific support for members using a label to find an assigned return place; that explanation gives a reason for labeling trays. The meeting count does not support tool return. One invented afternoon with 14 members does not establish lasting effects, results for everyone or improved learning.</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Classify by the stated job, not order. Accept another precise limit tied to the supplied evidence. Keep this case reserved from teaching until its named occasion.</w:t>
      </w:r>
    </w:p>
    <w:p>
      <w:r>
        <w:rPr>
          <w:sz w:val="18"/>
        </w:rPr>
        <w:t>Mentor Teaching · AI-authored · C08 v1.0.0</w:t>
      </w:r>
    </w:p>
    <w:p>
      <w:r>
        <w:br w:type="page"/>
      </w:r>
    </w:p>
    <w:p>
      <w:pPr>
        <w:pStyle w:val="Title"/>
      </w:pPr>
      <w:r>
        <w:t>Check: arguments and fair replies: fair-reply key</w:t>
      </w:r>
    </w:p>
    <w:p>
      <w:r>
        <w:t>C08 · v1.0.0 · teacher/teacher-guide · page 8 of 21</w:t>
      </w:r>
    </w:p>
    <w:p>
      <w:r>
        <w:t>G6A01-CHECK-ONLY-L10</w:t>
      </w:r>
    </w:p>
    <w:p>
      <w:pPr>
        <w:pStyle w:val="Heading1"/>
      </w:pPr>
      <w:r>
        <w:t>Project recordings</w:t>
      </w:r>
    </w:p>
    <w:p>
      <w:r>
        <w:t>In an invented class, Jo proposes that each project group record a two-minute explanation so absent classmates can hear its main choices. Ren says: “Some members do not want their voices recorded, and making a recording takes editing time. A short written explanation of the group’s choices would be another option.” No recordings or written explanations have yet been made.</w:t>
      </w:r>
    </w:p>
    <w:p>
      <w:pPr>
        <w:pStyle w:val="Heading1"/>
      </w:pPr>
      <w:r>
        <w:t>One fully reasoned answer</w:t>
      </w:r>
    </w:p>
    <w:p>
      <w:r>
        <w:t>Ren is concerned that members may not want their voices recorded and suggests a short written explanation. That matters because sharing a project should not require a member to record their voice. I would use the written explanation so everyone can contribute without voice recording. This still takes preparation and may not give absent classmates the sound or emphasis of a spoken explanation.</w:t>
      </w:r>
    </w:p>
    <w:p>
      <w:pPr>
        <w:pStyle w:val="Heading1"/>
      </w:pPr>
      <w:r>
        <w:t>Acceptable alternatives</w:t>
      </w:r>
    </w:p>
    <w:p>
      <w:r>
        <w:t>Alternatively, a recording could use only willing speakers, with others contributing text, while keeping a written version. This connects to voice choice but still needs editing and does not ensure every absent classmate can use it. A reply favoring recording must address the selected concern; simply saying recordings are better is insufficient. One accurately stated main concern plus the stated alternative is enough for full representation; other concerns may be omitted.</w:t>
      </w:r>
    </w:p>
    <w:p>
      <w:pPr>
        <w:pStyle w:val="Heading1"/>
      </w:pPr>
      <w:r>
        <w:t>Route-specific steps</w:t>
      </w:r>
    </w:p>
    <w:p>
      <w:r>
        <w:t>Evaluate fair representation, concern importance plus explicit reply link, related response plus remaining limit, and clarity separately. Do not require a trial, preferred option or all concerns.</w:t>
      </w:r>
    </w:p>
    <w:p>
      <w:r>
        <w:rPr>
          <w:sz w:val="18"/>
        </w:rPr>
        <w:t>Mentor Teaching · AI-authored · C08 v1.0.0</w:t>
      </w:r>
    </w:p>
    <w:p>
      <w:r>
        <w:br w:type="page"/>
      </w:r>
    </w:p>
    <w:p>
      <w:pPr>
        <w:pStyle w:val="Title"/>
      </w:pPr>
      <w:r>
        <w:t>Continue: connect and consolidate: role key</w:t>
      </w:r>
    </w:p>
    <w:p>
      <w:r>
        <w:t>C08 · v1.0.0 · teacher/teacher-guide · page 9 of 21</w:t>
      </w:r>
    </w:p>
    <w:p>
      <w:r>
        <w:t>G6A01-ROUTE-CONTINUE-L09</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pPr>
        <w:pStyle w:val="Heading1"/>
      </w:pPr>
      <w:r>
        <w:t>Complete key and reasoning</w:t>
      </w:r>
    </w:p>
    <w:p>
      <w:r>
        <w:t>Claim B; reason A; relevant evidence D; unrelated detail C. The 8 of 10 count supports noticing a missing piece using the card, which is the reason for attaching cards. Planned meeting count shares the club topic but does not support piece checking. The invented check concerns ten borrowers; it does not show whether pieces were later found or that every borrower will notice omissions.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Needed-information example: ask whether borrowers who notice a missing piece can locate or report it before checkout; an answer would help decide whether the card needs a reporting instruction. This is not an asserted result.</w:t>
      </w:r>
    </w:p>
    <w:p>
      <w:r>
        <w:rPr>
          <w:sz w:val="18"/>
        </w:rPr>
        <w:t>Mentor Teaching · AI-authored · C08 v1.0.0</w:t>
      </w:r>
    </w:p>
    <w:p>
      <w:r>
        <w:br w:type="page"/>
      </w:r>
    </w:p>
    <w:p>
      <w:pPr>
        <w:pStyle w:val="Title"/>
      </w:pPr>
      <w:r>
        <w:t>Continue: connect and consolidate: fair-reply key</w:t>
      </w:r>
    </w:p>
    <w:p>
      <w:r>
        <w:t>C08 · v1.0.0 · teacher/teacher-guide · page 10 of 21</w:t>
      </w:r>
    </w:p>
    <w:p>
      <w:r>
        <w:t>G6A01-ROUTE-CONTINUE-L10</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pPr>
        <w:pStyle w:val="Heading1"/>
      </w:pPr>
      <w:r>
        <w:t>One fully reasoned answer</w:t>
      </w:r>
    </w:p>
    <w:p>
      <w:r>
        <w:t>Inez worries that a sheet may fill before quieter visitors add a question and suggests one small card per visitor. This matters because a visitor should have a place to ask even if others write first. I favor the cards because each visitor can contribute one question without waiting for space on the sheet. Groups will still need time to read and answer the cards, and one card limits how many questions a visitor can ask.</w:t>
      </w:r>
    </w:p>
    <w:p>
      <w:pPr>
        <w:pStyle w:val="Heading1"/>
      </w:pPr>
      <w:r>
        <w:t>Acceptable alternatives</w:t>
      </w:r>
    </w:p>
    <w:p>
      <w:r>
        <w:t>A learner may favor the sheets with a separate reserved area or a card option for visitors, while recognizing that reserved space can still fill and answers need time. For answer-time concern, one card per visitor limits submissions but does not prove groups can answer them all; grouping similar questions is a proposed change, not a guaranteed result. One accurately stated main concern plus the stated alternative is enough for full representation; other concerns may be omitted.</w:t>
      </w:r>
    </w:p>
    <w:p>
      <w:pPr>
        <w:pStyle w:val="Heading1"/>
      </w:pPr>
      <w:r>
        <w:t>Route-specific steps</w:t>
      </w:r>
    </w:p>
    <w:p>
      <w:r>
        <w:t>Needed-information example: ask how many questions groups could respond to with the time actually available. That could inform limiting, grouping or scheduling replies; do not supply an invented result.</w:t>
      </w:r>
    </w:p>
    <w:p>
      <w:r>
        <w:rPr>
          <w:sz w:val="18"/>
        </w:rPr>
        <w:t>Mentor Teaching · AI-authored · C08 v1.0.0</w:t>
      </w:r>
    </w:p>
    <w:p>
      <w:r>
        <w:br w:type="page"/>
      </w:r>
    </w:p>
    <w:p>
      <w:pPr>
        <w:pStyle w:val="Title"/>
      </w:pPr>
      <w:r>
        <w:t>Clarify: distinguish and repair: role key</w:t>
      </w:r>
    </w:p>
    <w:p>
      <w:r>
        <w:t>C08 · v1.0.0 · teacher/teacher-guide · page 11 of 21</w:t>
      </w:r>
    </w:p>
    <w:p>
      <w:r>
        <w:t>G6A01-ROUTE-CLARIFY-L09</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pPr>
        <w:pStyle w:val="Heading1"/>
      </w:pPr>
      <w:r>
        <w:t>Complete key and reasoning</w:t>
      </w:r>
    </w:p>
    <w:p>
      <w:r>
        <w:t>Claim B; reason A; relevant evidence D; unrelated detail C. The 8 of 10 count supports noticing a missing piece using the card, which is the reason for attaching cards. Planned meeting count shares the club topic but does not support piece checking. The invented check concerns ten borrowers; it does not show whether pieces were later found or that every borrower will notice omissions.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A explains the possible benefit; D offers a specific invented result. C names the same club but says nothing about noticing pieces. Accept another wording that states those functional distinctions.</w:t>
      </w:r>
    </w:p>
    <w:p>
      <w:r>
        <w:rPr>
          <w:sz w:val="18"/>
        </w:rPr>
        <w:t>Mentor Teaching · AI-authored · C08 v1.0.0</w:t>
      </w:r>
    </w:p>
    <w:p>
      <w:r>
        <w:br w:type="page"/>
      </w:r>
    </w:p>
    <w:p>
      <w:pPr>
        <w:pStyle w:val="Title"/>
      </w:pPr>
      <w:r>
        <w:t>Clarify: distinguish and repair: fair-reply key</w:t>
      </w:r>
    </w:p>
    <w:p>
      <w:r>
        <w:t>C08 · v1.0.0 · teacher/teacher-guide · page 12 of 21</w:t>
      </w:r>
    </w:p>
    <w:p>
      <w:r>
        <w:t>G6A01-ROUTE-CLARIFY-L10</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pPr>
        <w:pStyle w:val="Heading1"/>
      </w:pPr>
      <w:r>
        <w:t>One fully reasoned answer</w:t>
      </w:r>
    </w:p>
    <w:p>
      <w:r>
        <w:t>Inez worries that a sheet may fill before quieter visitors add a question and suggests one small card per visitor. This matters because a visitor should have a place to ask even if others write first. I favor the cards because each visitor can contribute one question without waiting for space on the sheet. Groups will still need time to read and answer the cards, and one card limits how many questions a visitor can ask.</w:t>
      </w:r>
    </w:p>
    <w:p>
      <w:pPr>
        <w:pStyle w:val="Heading1"/>
      </w:pPr>
      <w:r>
        <w:t>Acceptable alternatives</w:t>
      </w:r>
    </w:p>
    <w:p>
      <w:r>
        <w:t>A learner may favor the sheets with a separate reserved area or a card option for visitors, while recognizing that reserved space can still fill and answers need time. For answer-time concern, one card per visitor limits submissions but does not prove groups can answer them all; grouping similar questions is a proposed change, not a guaranteed result. One accurately stated main concern plus the stated alternative is enough for full representation; other concerns may be omitted.</w:t>
      </w:r>
    </w:p>
    <w:p>
      <w:pPr>
        <w:pStyle w:val="Heading1"/>
      </w:pPr>
      <w:r>
        <w:t>Route-specific steps</w:t>
      </w:r>
    </w:p>
    <w:p>
      <w:r>
        <w:t>The unfair paraphrase wrongly turns Inez’s concerns about space and response time into a desire to stop all questions, and omits the one-card-per-visitor alternative. Repair: Inez worries that a sheet may fill before quieter visitors contribute and suggests a small card for each visitor. One accurate main concern plus that alternative is enough; the learner need not repeat all concerns.</w:t>
      </w:r>
    </w:p>
    <w:p>
      <w:r>
        <w:rPr>
          <w:sz w:val="18"/>
        </w:rPr>
        <w:t>Mentor Teaching · AI-authored · C08 v1.0.0</w:t>
      </w:r>
    </w:p>
    <w:p>
      <w:r>
        <w:br w:type="page"/>
      </w:r>
    </w:p>
    <w:p>
      <w:pPr>
        <w:pStyle w:val="Title"/>
      </w:pPr>
      <w:r>
        <w:t>Reteach: model, chunk and explain: role key</w:t>
      </w:r>
    </w:p>
    <w:p>
      <w:r>
        <w:t>C08 · v1.0.0 · teacher/teacher-guide · page 13 of 21</w:t>
      </w:r>
    </w:p>
    <w:p>
      <w:r>
        <w:t>G6A01-ROUTE-RETEACH-L09</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pPr>
        <w:pStyle w:val="Heading1"/>
      </w:pPr>
      <w:r>
        <w:t>Complete key and reasoning</w:t>
      </w:r>
    </w:p>
    <w:p>
      <w:r>
        <w:t>Claim B; reason A; relevant evidence D; unrelated detail C. The 8 of 10 count supports noticing a missing piece using the card, which is the reason for attaching cards. Planned meeting count shares the club topic but does not support piece checking. The invented check concerns ten borrowers; it does not show whether pieces were later found or that every borrower will notice omissions.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Prompt one job at a time without labeling the puzzle answer. Fade the prompts only as appropriate and record them. Completed miniature key: A claim, B reason, C relevant evidence, D unrelated; finding the folder is the reason, 4/5 is the specific support, and Tuesday has no stated link. A five-person check does not establish lasting or universal effects.</w:t>
      </w:r>
    </w:p>
    <w:p>
      <w:r>
        <w:rPr>
          <w:sz w:val="18"/>
        </w:rPr>
        <w:t>Mentor Teaching · AI-authored · C08 v1.0.0</w:t>
      </w:r>
    </w:p>
    <w:p>
      <w:r>
        <w:br w:type="page"/>
      </w:r>
    </w:p>
    <w:p>
      <w:pPr>
        <w:pStyle w:val="Title"/>
      </w:pPr>
      <w:r>
        <w:t>Reteach: model, chunk and explain: fair-reply key</w:t>
      </w:r>
    </w:p>
    <w:p>
      <w:r>
        <w:t>C08 · v1.0.0 · teacher/teacher-guide · page 14 of 21</w:t>
      </w:r>
    </w:p>
    <w:p>
      <w:r>
        <w:t>G6A01-ROUTE-RETEACH-L10</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pPr>
        <w:pStyle w:val="Heading1"/>
      </w:pPr>
      <w:r>
        <w:t>One fully reasoned answer</w:t>
      </w:r>
    </w:p>
    <w:p>
      <w:r>
        <w:t>Inez worries that a sheet may fill before quieter visitors add a question and suggests one small card per visitor. This matters because a visitor should have a place to ask even if others write first. I favor the cards because each visitor can contribute one question without waiting for space on the sheet. Groups will still need time to read and answer the cards, and one card limits how many questions a visitor can ask.</w:t>
      </w:r>
    </w:p>
    <w:p>
      <w:pPr>
        <w:pStyle w:val="Heading1"/>
      </w:pPr>
      <w:r>
        <w:t>Acceptable alternatives</w:t>
      </w:r>
    </w:p>
    <w:p>
      <w:r>
        <w:t>A learner may favor the sheets with a separate reserved area or a card option for visitors, while recognizing that reserved space can still fill and answers need time. For answer-time concern, one card per visitor limits submissions but does not prove groups can answer them all; grouping similar questions is a proposed change, not a guaranteed result. One accurately stated main concern plus the stated alternative is enough for full representation; other concerns may be omitted.</w:t>
      </w:r>
    </w:p>
    <w:p>
      <w:pPr>
        <w:pStyle w:val="Heading1"/>
      </w:pPr>
      <w:r>
        <w:t>Route-specific steps</w:t>
      </w:r>
    </w:p>
    <w:p>
      <w:r>
        <w:t>Completed poem model accurately states that some writers may not want to read aloud and identifies a voluntary silent poem table. The reply explains participation choice, connects silent sharing to it, and notes preparation/no spoken performance. Another full reply can keep voluntary readings plus a table, noting space and preparation. Chunk the gallery reply, record prompts, then use a reserved case for fresh evidence.</w:t>
      </w:r>
    </w:p>
    <w:p>
      <w:r>
        <w:rPr>
          <w:sz w:val="18"/>
        </w:rPr>
        <w:t>Mentor Teaching · AI-authored · C08 v1.0.0</w:t>
      </w:r>
    </w:p>
    <w:p>
      <w:r>
        <w:br w:type="page"/>
      </w:r>
    </w:p>
    <w:p>
      <w:pPr>
        <w:pStyle w:val="Title"/>
      </w:pPr>
      <w:r>
        <w:t>Extend: change context and compare responses: role key</w:t>
      </w:r>
    </w:p>
    <w:p>
      <w:r>
        <w:t>C08 · v1.0.0 · teacher/teacher-guide · page 15 of 21</w:t>
      </w:r>
    </w:p>
    <w:p>
      <w:r>
        <w:t>G6A01-ROUTE-EXTEND-L09</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pPr>
        <w:pStyle w:val="Heading1"/>
      </w:pPr>
      <w:r>
        <w:t>Complete key and reasoning</w:t>
      </w:r>
    </w:p>
    <w:p>
      <w:r>
        <w:t>Claim B; reason A; relevant evidence D; unrelated detail C. The 8 of 10 count supports noticing a missing piece using the card, which is the reason for attaching cards. Planned meeting count shares the club topic but does not support piece checking. The invented check concerns ten borrowers; it does not show whether pieces were later found or that every borrower will notice omissions.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In the calendar argument, the meeting statement is specific relevant evidence for giving members a calendar of planned dates. In the original it is unrelated to noticing pieces. It supports calendar usefulness but does not prove attendance or all members’ preferences. An added question might ask whether borrowers can read or use the contents card; answers would inform format, not prove every bag is complete.</w:t>
      </w:r>
    </w:p>
    <w:p>
      <w:r>
        <w:rPr>
          <w:sz w:val="18"/>
        </w:rPr>
        <w:t>Mentor Teaching · AI-authored · C08 v1.0.0</w:t>
      </w:r>
    </w:p>
    <w:p>
      <w:r>
        <w:br w:type="page"/>
      </w:r>
    </w:p>
    <w:p>
      <w:pPr>
        <w:pStyle w:val="Title"/>
      </w:pPr>
      <w:r>
        <w:t>Extend: change context and compare responses: fair-reply key</w:t>
      </w:r>
    </w:p>
    <w:p>
      <w:r>
        <w:t>C08 · v1.0.0 · teacher/teacher-guide · page 16 of 21</w:t>
      </w:r>
    </w:p>
    <w:p>
      <w:r>
        <w:t>G6A01-ROUTE-EXTEND-L10</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pPr>
        <w:pStyle w:val="Heading1"/>
      </w:pPr>
      <w:r>
        <w:t>One fully reasoned answer</w:t>
      </w:r>
    </w:p>
    <w:p>
      <w:r>
        <w:t>Inez worries that a sheet may fill before quieter visitors add a question and suggests one small card per visitor. This matters because a visitor should have a place to ask even if others write first. I favor the cards because each visitor can contribute one question without waiting for space on the sheet. Groups will still need time to read and answer the cards, and one card limits how many questions a visitor can ask.</w:t>
      </w:r>
    </w:p>
    <w:p>
      <w:pPr>
        <w:pStyle w:val="Heading1"/>
      </w:pPr>
      <w:r>
        <w:t>Acceptable alternatives</w:t>
      </w:r>
    </w:p>
    <w:p>
      <w:r>
        <w:t>A learner may favor the sheets with a separate reserved area or a card option for visitors, while recognizing that reserved space can still fill and answers need time. For answer-time concern, one card per visitor limits submissions but does not prove groups can answer them all; grouping similar questions is a proposed change, not a guaranteed result. One accurately stated main concern plus the stated alternative is enough for full representation; other concerns may be omitted.</w:t>
      </w:r>
    </w:p>
    <w:p>
      <w:pPr>
        <w:pStyle w:val="Heading1"/>
      </w:pPr>
      <w:r>
        <w:t>Route-specific steps</w:t>
      </w:r>
    </w:p>
    <w:p>
      <w:r>
        <w:t>Second full reply example: Inez worries that a sheet may fill before quieter visitors contribute and suggests one card per visitor. Having a place for each voice matters. I would keep the sheet but also offer cards whenever space fills, so a visitor still has a way to submit a question. Groups still may lack time to answer every submission. To compare with cards alone, ask about available sheet space, visitor numbers and response time; none is supplied. Distinct replies need connected reasoning, not opposite conclusions alone.</w:t>
      </w:r>
    </w:p>
    <w:p>
      <w:r>
        <w:rPr>
          <w:sz w:val="18"/>
        </w:rPr>
        <w:t>Mentor Teaching · AI-authored · C08 v1.0.0</w:t>
      </w:r>
    </w:p>
    <w:p>
      <w:r>
        <w:br w:type="page"/>
      </w:r>
    </w:p>
    <w:p>
      <w:pPr>
        <w:pStyle w:val="Title"/>
      </w:pPr>
      <w:r>
        <w:t>Fresh recheck: new arguments and replies: role key</w:t>
      </w:r>
    </w:p>
    <w:p>
      <w:r>
        <w:t>C08 · v1.0.0 · teacher/teacher-guide · page 17 of 21</w:t>
      </w:r>
    </w:p>
    <w:p>
      <w:r>
        <w:t>G6A01-FRESH-RECHECK-L09</w:t>
      </w:r>
    </w:p>
    <w:p>
      <w:pPr>
        <w:pStyle w:val="Heading1"/>
      </w:pPr>
      <w:r>
        <w:t>Sewing-kit checklists</w:t>
      </w:r>
    </w:p>
    <w:p>
      <w:r>
        <w:t>A. The costume club’s storage cupboard has a blue door. B. In an invented kit return, 9 of 12 members who used a printed checklist noticed an unreturned item before putting the kit away. C. A checklist can help members notice missing items at return time. D. The costume club should include printed checklists with its sewing kits.</w:t>
      </w:r>
    </w:p>
    <w:p>
      <w:pPr>
        <w:pStyle w:val="Heading1"/>
      </w:pPr>
      <w:r>
        <w:t>Complete key and reasoning</w:t>
      </w:r>
    </w:p>
    <w:p>
      <w:r>
        <w:t>Claim D; reason C; relevant evidence B; unrelated detail A. The 9 of 12 count supports noticing an unreturned item while using a checklist; that gives a reason for including checklists. Cupboard color has no stated link. The invented return does not establish all members’ behavior, lasting results or that every item was eventually returned.</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Classify by the stated job, not order. Accept another precise limit tied to the supplied evidence. Keep this case reserved from teaching until its named occasion.</w:t>
      </w:r>
    </w:p>
    <w:p>
      <w:r>
        <w:rPr>
          <w:sz w:val="18"/>
        </w:rPr>
        <w:t>Mentor Teaching · AI-authored · C08 v1.0.0</w:t>
      </w:r>
    </w:p>
    <w:p>
      <w:r>
        <w:br w:type="page"/>
      </w:r>
    </w:p>
    <w:p>
      <w:pPr>
        <w:pStyle w:val="Title"/>
      </w:pPr>
      <w:r>
        <w:t>Fresh recheck: new arguments and replies: fair-reply key</w:t>
      </w:r>
    </w:p>
    <w:p>
      <w:r>
        <w:t>C08 · v1.0.0 · teacher/teacher-guide · page 18 of 21</w:t>
      </w:r>
    </w:p>
    <w:p>
      <w:r>
        <w:t>G6A01-FRESH-RECHECK-L10</w:t>
      </w:r>
    </w:p>
    <w:p>
      <w:pPr>
        <w:pStyle w:val="Heading1"/>
      </w:pPr>
      <w:r>
        <w:t>Rehearsal questions</w:t>
      </w:r>
    </w:p>
    <w:p>
      <w:r>
        <w:t>In an invented drama group, Ali proposes a question circle after each rehearsal so members can discuss confusing scenes. Noor says: “People who need to leave promptly could miss the discussion, and some members do not want to ask a question aloud. A question envelope collected before rehearsal ends would be another option.” The group has not tried either approach; no answer schedule is given.</w:t>
      </w:r>
    </w:p>
    <w:p>
      <w:pPr>
        <w:pStyle w:val="Heading1"/>
      </w:pPr>
      <w:r>
        <w:t>One fully reasoned answer</w:t>
      </w:r>
    </w:p>
    <w:p>
      <w:r>
        <w:t>Noor worries that people leaving promptly could miss discussion and suggests an envelope collected before rehearsal ends. This matters because leaving on time should not prevent someone from contributing a question. I support the envelope because members can submit a question before they leave. A person still needs to read and answer it, and a written question does not give the immediate conversation a circle might provide.</w:t>
      </w:r>
    </w:p>
    <w:p>
      <w:pPr>
        <w:pStyle w:val="Heading1"/>
      </w:pPr>
      <w:r>
        <w:t>Acceptable alternatives</w:t>
      </w:r>
    </w:p>
    <w:p>
      <w:r>
        <w:t>A shorter circle held before rehearsal ends plus an envelope option can address departures and speaking choice. It may reduce rehearsal time and still needs an answer plan. Agreement with the circle, envelope or a qualified mix can meet all four criteria. Do not invent evidence that one approach has worked. One accurately stated main concern plus the stated alternative is enough for full representation; other concerns may be omitted.</w:t>
      </w:r>
    </w:p>
    <w:p>
      <w:pPr>
        <w:pStyle w:val="Heading1"/>
      </w:pPr>
      <w:r>
        <w:t>Route-specific steps</w:t>
      </w:r>
    </w:p>
    <w:p>
      <w:r>
        <w:t>Evaluate fair representation, concern importance plus explicit reply link, related response plus remaining limit, and clarity separately. Do not require a trial, preferred option or all concerns.</w:t>
      </w:r>
    </w:p>
    <w:p>
      <w:r>
        <w:rPr>
          <w:sz w:val="18"/>
        </w:rPr>
        <w:t>Mentor Teaching · AI-authored · C08 v1.0.0</w:t>
      </w:r>
    </w:p>
    <w:p>
      <w:r>
        <w:br w:type="page"/>
      </w:r>
    </w:p>
    <w:p>
      <w:pPr>
        <w:pStyle w:val="Title"/>
      </w:pPr>
      <w:r>
        <w:t>Later transfer: archive and exhibition: role key</w:t>
      </w:r>
    </w:p>
    <w:p>
      <w:r>
        <w:t>C08 · v1.0.0 · teacher/teacher-guide · page 19 of 21</w:t>
      </w:r>
    </w:p>
    <w:p>
      <w:r>
        <w:t>G6A01-LATER-TRANSFER-L09</w:t>
      </w:r>
    </w:p>
    <w:p>
      <w:pPr>
        <w:pStyle w:val="Heading1"/>
      </w:pPr>
      <w:r>
        <w:t>Archive index</w:t>
      </w:r>
    </w:p>
    <w:p>
      <w:r>
        <w:t>A. A room-name index can help visitors locate recordings about a room without listening to every recording. B. The invented community archive should add a room-name index to its audio tour. C. The archive offers audio recordings in two languages. D. In an invented test with 16 visitors, 12 used a room-name index to select the recording about a room they wanted.</w:t>
      </w:r>
    </w:p>
    <w:p>
      <w:pPr>
        <w:pStyle w:val="Heading1"/>
      </w:pPr>
      <w:r>
        <w:t>Complete key and reasoning</w:t>
      </w:r>
    </w:p>
    <w:p>
      <w:r>
        <w:t>Claim B; reason A; relevant evidence D; unrelated detail C. The 12 of 16 selections are specific support for locating a wanted room recording using an index, which gives a reason for adding it. Two languages might matter to another argument, but has no stated link to locating a recording by room here. The invented test does not establish comprehension, universal preference or every visitor’s access.</w:t>
      </w:r>
    </w:p>
    <w:p>
      <w:r>
        <w:t>Accept accurate role descriptions, concise or oral explanations, and another scenario-supported limit. Do not require these exact phrases. Evaluate the statement’s function here, not its truth or the learner’s position.</w:t>
      </w:r>
    </w:p>
    <w:p>
      <w:pPr>
        <w:pStyle w:val="Heading1"/>
      </w:pPr>
      <w:r>
        <w:t>Route-specific support / alternatives</w:t>
      </w:r>
    </w:p>
    <w:p>
      <w:r>
        <w:t>Classify by the stated job, not order. Accept another precise limit tied to the supplied evidence. Keep this case reserved from teaching until its named occasion.</w:t>
      </w:r>
    </w:p>
    <w:p>
      <w:r>
        <w:rPr>
          <w:sz w:val="18"/>
        </w:rPr>
        <w:t>Mentor Teaching · AI-authored · C08 v1.0.0</w:t>
      </w:r>
    </w:p>
    <w:p>
      <w:r>
        <w:br w:type="page"/>
      </w:r>
    </w:p>
    <w:p>
      <w:pPr>
        <w:pStyle w:val="Title"/>
      </w:pPr>
      <w:r>
        <w:t>Later transfer: archive and exhibition: fair-reply key</w:t>
      </w:r>
    </w:p>
    <w:p>
      <w:r>
        <w:t>C08 · v1.0.0 · teacher/teacher-guide · page 20 of 21</w:t>
      </w:r>
    </w:p>
    <w:p>
      <w:r>
        <w:t>G6A01-LATER-TRANSFER-L10</w:t>
      </w:r>
    </w:p>
    <w:p>
      <w:pPr>
        <w:pStyle w:val="Heading1"/>
      </w:pPr>
      <w:r>
        <w:t>Exhibit explanations</w:t>
      </w:r>
    </w:p>
    <w:p>
      <w:r>
        <w:t>In an invented community exhibition, Tess proposes live explanations at each object station so visitors can ask questions. Omi says: “Visitors arriving between explanations may miss them, and a live explanation may be hard to hear in a busy room. Printed explanation cards at the objects could be another option.” No visitor survey, schedule or hearing test is supplied.</w:t>
      </w:r>
    </w:p>
    <w:p>
      <w:pPr>
        <w:pStyle w:val="Heading1"/>
      </w:pPr>
      <w:r>
        <w:t>One fully reasoned answer</w:t>
      </w:r>
    </w:p>
    <w:p>
      <w:r>
        <w:t>Omi is concerned that visitors arriving between live explanations could miss them and suggests printed cards. That matters because arrival time should not determine whether a visitor gets an explanation. I support cards available at each object so a visitor can read at their own time. They still need to be readable and do not let a visitor ask a follow-up question as a live explanation could.</w:t>
      </w:r>
    </w:p>
    <w:p>
      <w:pPr>
        <w:pStyle w:val="Heading1"/>
      </w:pPr>
      <w:r>
        <w:t>Acceptable alternatives</w:t>
      </w:r>
    </w:p>
    <w:p>
      <w:r>
        <w:t>Live explanations could be retained at stated times with cards available between them; this directly addresses arrival gaps but still needs staff and may not solve hearing difficulty. If selecting hearing difficulty, cards offer a text option but readability and access remain limits. No supplied evidence establishes which method works best. One accurately stated main concern plus the stated alternative is enough for full representation; other concerns may be omitted.</w:t>
      </w:r>
    </w:p>
    <w:p>
      <w:pPr>
        <w:pStyle w:val="Heading1"/>
      </w:pPr>
      <w:r>
        <w:t>Route-specific steps</w:t>
      </w:r>
    </w:p>
    <w:p>
      <w:r>
        <w:t>Evaluate fair representation, concern importance plus explicit reply link, related response plus remaining limit, and clarity separately. Do not require a trial, preferred option or all concerns.</w:t>
      </w:r>
    </w:p>
    <w:p>
      <w:r>
        <w:rPr>
          <w:sz w:val="18"/>
        </w:rPr>
        <w:t>Mentor Teaching · AI-authored · C08 v1.0.0</w:t>
      </w:r>
    </w:p>
    <w:p>
      <w:r>
        <w:br w:type="page"/>
      </w:r>
    </w:p>
    <w:p>
      <w:pPr>
        <w:pStyle w:val="Title"/>
      </w:pPr>
      <w:r>
        <w:t>Rights, versions and verification limits</w:t>
      </w:r>
    </w:p>
    <w:p>
      <w:r>
        <w:t>C08 · v1.0.0 · teacher/teacher-guide · page 21 of 21</w:t>
      </w:r>
    </w:p>
    <w:p>
      <w:r>
        <w:t>All situations, people, observations and counts in this selection are invented for practice, not research or actual classroom results.</w:t>
      </w:r>
    </w:p>
    <w:p>
      <w:r>
        <w:t>© Mentor Teaching. You may read, print, copy and adapt for your own planning, classroom and school team when the source is not sold. Retain attribution and source notices. Republishing, reselling or broader redistribution requires written permission. Current terms: mentorteaching.com/terms-of-use/.</w:t>
      </w:r>
    </w:p>
    <w:p>
      <w:pPr>
        <w:pStyle w:val="Heading1"/>
      </w:pPr>
      <w:r>
        <w:t>Font and file use</w:t>
      </w:r>
    </w:p>
    <w:p>
      <w:r>
        <w:t>New PDFs use Liberation Sans, distributed under SIL Open Font License 1.1; font source and license hashes are retained with author evidence. Native DOCX requests that font; rendering depends on local software and font availability. All new text is original instructional fiction/prose. No third-party image is included; the preview is the actual neutral Start Here first PDF page.</w:t>
      </w:r>
    </w:p>
    <w:p>
      <w:pPr>
        <w:pStyle w:val="Heading1"/>
      </w:pPr>
      <w:r>
        <w:t>Exact inherited files</w:t>
      </w:r>
    </w:p>
    <w:p>
      <w:r>
        <w:t>The teacher-only C08 package copies exactly eight original public files: L09 v0.1.2 learner/teacher PDF and DOCX; L10 v0.1.7 learner/teacher PDF and DOCX. Original filenames and bytes remain unchanged under their original download paths within the package. VERSION-MAP.json lists versions and hashes. These copies are ZIP-only, not new public aliases. Latest accepted lesson masters and criteria are unchanged.</w:t>
      </w:r>
    </w:p>
    <w:p>
      <w:pPr>
        <w:pStyle w:val="Heading1"/>
      </w:pPr>
      <w:r>
        <w:t>What file checks establish</w:t>
      </w:r>
    </w:p>
    <w:p>
      <w:r>
        <w:t>Author checks cover source/export text and structure, PDF layout/page geometry with all pages viewed, native DOCX paragraphs/page breaks/response rules, browser overflow and bounded automated accessibility rules, two-build byte parity and ZIP/inherited hashes. They do not establish Microsoft Word/Google Docs rendering, physical print, handwriting comfort, assistive-technology conformance, empirical timing, classroom outcomes or standards alignment.</w:t>
      </w:r>
    </w:p>
    <w:p>
      <w:pPr>
        <w:pStyle w:val="Heading1"/>
      </w:pPr>
      <w:r>
        <w:t>Review and release</w:t>
      </w:r>
    </w:p>
    <w:p>
      <w:r>
        <w:t>Author-state candidate: NEEDS_INDEPENDENT_AI_REVIEW. Author checking is not independent approval. Actual isolated blind solve, separate methods audit/reconciliation and fresh final AI decision are required before content approval. Public review/publication records must reflect the actual current version and evidence. Optional human feedback is not a release gate.</w:t>
      </w:r>
    </w:p>
    <w:p>
      <w:r>
        <w:rPr>
          <w:sz w:val="18"/>
        </w:rPr>
        <w:t>Mentor Teaching · AI-authored · C08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arguments and fair replies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